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57A85" w14:textId="6538E3AD" w:rsidR="00034741" w:rsidRPr="00C1054E" w:rsidRDefault="00034741" w:rsidP="00034741">
      <w:pPr>
        <w:pBdr>
          <w:top w:val="nil"/>
          <w:left w:val="nil"/>
          <w:bottom w:val="nil"/>
          <w:right w:val="nil"/>
          <w:between w:val="nil"/>
        </w:pBdr>
        <w:spacing w:after="0" w:line="240" w:lineRule="auto"/>
        <w:rPr>
          <w:rFonts w:ascii="Arial" w:eastAsia="Arial" w:hAnsi="Arial" w:cs="Arial"/>
          <w:color w:val="000000" w:themeColor="text1"/>
          <w:sz w:val="24"/>
          <w:szCs w:val="24"/>
        </w:rPr>
      </w:pPr>
      <w:bookmarkStart w:id="0" w:name="_GoBack"/>
      <w:bookmarkEnd w:id="0"/>
      <w:r w:rsidRPr="00C1054E">
        <w:rPr>
          <w:rFonts w:ascii="Arial" w:eastAsia="Arial" w:hAnsi="Arial" w:cs="Arial"/>
          <w:color w:val="000000" w:themeColor="text1"/>
          <w:sz w:val="24"/>
          <w:szCs w:val="24"/>
        </w:rPr>
        <w:t xml:space="preserve">Bogotá D.C., </w:t>
      </w:r>
      <w:r w:rsidR="00013C0B" w:rsidRPr="00C1054E">
        <w:rPr>
          <w:rFonts w:ascii="Arial" w:eastAsia="Arial" w:hAnsi="Arial" w:cs="Arial"/>
          <w:color w:val="000000" w:themeColor="text1"/>
          <w:sz w:val="24"/>
          <w:szCs w:val="24"/>
        </w:rPr>
        <w:t xml:space="preserve">septiembre </w:t>
      </w:r>
      <w:r w:rsidRPr="00C1054E">
        <w:rPr>
          <w:rFonts w:ascii="Arial" w:eastAsia="Arial" w:hAnsi="Arial" w:cs="Arial"/>
          <w:color w:val="000000" w:themeColor="text1"/>
          <w:sz w:val="24"/>
          <w:szCs w:val="24"/>
        </w:rPr>
        <w:t>de 2022</w:t>
      </w:r>
    </w:p>
    <w:p w14:paraId="4449FC56" w14:textId="77777777" w:rsidR="00034741" w:rsidRPr="00C1054E" w:rsidRDefault="00034741" w:rsidP="00034741">
      <w:pPr>
        <w:pBdr>
          <w:top w:val="nil"/>
          <w:left w:val="nil"/>
          <w:bottom w:val="nil"/>
          <w:right w:val="nil"/>
          <w:between w:val="nil"/>
        </w:pBdr>
        <w:spacing w:after="0" w:line="240" w:lineRule="auto"/>
        <w:rPr>
          <w:rFonts w:ascii="Arial" w:eastAsia="Arial" w:hAnsi="Arial" w:cs="Arial"/>
          <w:color w:val="000000" w:themeColor="text1"/>
          <w:sz w:val="24"/>
          <w:szCs w:val="24"/>
        </w:rPr>
      </w:pPr>
    </w:p>
    <w:p w14:paraId="656235AC" w14:textId="77777777" w:rsidR="00034741" w:rsidRPr="00C1054E" w:rsidRDefault="00034741" w:rsidP="00034741">
      <w:pPr>
        <w:pBdr>
          <w:top w:val="nil"/>
          <w:left w:val="nil"/>
          <w:bottom w:val="nil"/>
          <w:right w:val="nil"/>
          <w:between w:val="nil"/>
        </w:pBdr>
        <w:spacing w:after="0" w:line="240" w:lineRule="auto"/>
        <w:rPr>
          <w:rFonts w:ascii="Arial" w:eastAsia="Arial" w:hAnsi="Arial" w:cs="Arial"/>
          <w:color w:val="000000" w:themeColor="text1"/>
          <w:sz w:val="24"/>
          <w:szCs w:val="24"/>
        </w:rPr>
      </w:pPr>
    </w:p>
    <w:p w14:paraId="03B1FDCD" w14:textId="77777777" w:rsidR="00034741" w:rsidRPr="00C1054E" w:rsidRDefault="00034741" w:rsidP="00034741">
      <w:pPr>
        <w:spacing w:after="0" w:line="240" w:lineRule="auto"/>
        <w:rPr>
          <w:rFonts w:ascii="Arial" w:hAnsi="Arial" w:cs="Arial"/>
          <w:color w:val="000000" w:themeColor="text1"/>
          <w:sz w:val="24"/>
          <w:szCs w:val="24"/>
        </w:rPr>
      </w:pPr>
      <w:r w:rsidRPr="00C1054E">
        <w:rPr>
          <w:rFonts w:ascii="Arial" w:hAnsi="Arial" w:cs="Arial"/>
          <w:color w:val="000000" w:themeColor="text1"/>
          <w:sz w:val="24"/>
          <w:szCs w:val="24"/>
        </w:rPr>
        <w:t>Honorable Representante</w:t>
      </w:r>
    </w:p>
    <w:p w14:paraId="5E624DAE" w14:textId="77777777" w:rsidR="00034741" w:rsidRPr="00C1054E" w:rsidRDefault="00034741" w:rsidP="00034741">
      <w:pPr>
        <w:spacing w:after="0" w:line="240" w:lineRule="auto"/>
        <w:rPr>
          <w:rFonts w:ascii="Arial" w:hAnsi="Arial" w:cs="Arial"/>
          <w:b/>
          <w:bCs/>
          <w:color w:val="000000" w:themeColor="text1"/>
          <w:sz w:val="24"/>
          <w:szCs w:val="24"/>
        </w:rPr>
      </w:pPr>
      <w:r w:rsidRPr="00C1054E">
        <w:rPr>
          <w:rFonts w:ascii="Arial" w:hAnsi="Arial" w:cs="Arial"/>
          <w:b/>
          <w:bCs/>
          <w:color w:val="000000" w:themeColor="text1"/>
          <w:sz w:val="24"/>
          <w:szCs w:val="24"/>
        </w:rPr>
        <w:t>AGMETH</w:t>
      </w:r>
      <w:r w:rsidRPr="00C1054E">
        <w:rPr>
          <w:rFonts w:ascii="Arial" w:hAnsi="Arial" w:cs="Arial"/>
          <w:color w:val="000000" w:themeColor="text1"/>
          <w:sz w:val="24"/>
          <w:szCs w:val="24"/>
          <w:shd w:val="clear" w:color="auto" w:fill="FFFFFF"/>
        </w:rPr>
        <w:t xml:space="preserve"> </w:t>
      </w:r>
      <w:r w:rsidRPr="00C1054E">
        <w:rPr>
          <w:rFonts w:ascii="Arial" w:hAnsi="Arial" w:cs="Arial"/>
          <w:b/>
          <w:bCs/>
          <w:color w:val="000000" w:themeColor="text1"/>
          <w:sz w:val="24"/>
          <w:szCs w:val="24"/>
        </w:rPr>
        <w:t>ESCAF TIJERINO</w:t>
      </w:r>
    </w:p>
    <w:p w14:paraId="7C4AEC7E" w14:textId="616D807A" w:rsidR="00034741" w:rsidRPr="00C1054E" w:rsidRDefault="00034741" w:rsidP="00034741">
      <w:pPr>
        <w:spacing w:after="0" w:line="240" w:lineRule="auto"/>
        <w:rPr>
          <w:rFonts w:ascii="Arial" w:hAnsi="Arial" w:cs="Arial"/>
          <w:b/>
          <w:color w:val="000000" w:themeColor="text1"/>
          <w:sz w:val="24"/>
          <w:szCs w:val="24"/>
        </w:rPr>
      </w:pPr>
      <w:r w:rsidRPr="00C1054E">
        <w:rPr>
          <w:rFonts w:ascii="Arial" w:hAnsi="Arial" w:cs="Arial"/>
          <w:color w:val="000000" w:themeColor="text1"/>
          <w:sz w:val="24"/>
          <w:szCs w:val="24"/>
        </w:rPr>
        <w:t>Presidente</w:t>
      </w:r>
      <w:r w:rsidRPr="00C1054E">
        <w:rPr>
          <w:rFonts w:ascii="Arial" w:hAnsi="Arial" w:cs="Arial"/>
          <w:b/>
          <w:color w:val="000000" w:themeColor="text1"/>
          <w:sz w:val="24"/>
          <w:szCs w:val="24"/>
        </w:rPr>
        <w:t xml:space="preserve"> </w:t>
      </w:r>
      <w:r w:rsidRPr="00C1054E">
        <w:rPr>
          <w:rFonts w:ascii="Arial" w:hAnsi="Arial" w:cs="Arial"/>
          <w:color w:val="000000" w:themeColor="text1"/>
          <w:sz w:val="24"/>
          <w:szCs w:val="24"/>
        </w:rPr>
        <w:t xml:space="preserve">Comisión </w:t>
      </w:r>
      <w:r w:rsidR="00B1248E" w:rsidRPr="00C1054E">
        <w:rPr>
          <w:rFonts w:ascii="Arial" w:hAnsi="Arial" w:cs="Arial"/>
          <w:color w:val="000000" w:themeColor="text1"/>
          <w:sz w:val="24"/>
          <w:szCs w:val="24"/>
        </w:rPr>
        <w:t xml:space="preserve">Séptima </w:t>
      </w:r>
      <w:r w:rsidRPr="00C1054E">
        <w:rPr>
          <w:rFonts w:ascii="Arial" w:hAnsi="Arial" w:cs="Arial"/>
          <w:color w:val="000000" w:themeColor="text1"/>
          <w:sz w:val="24"/>
          <w:szCs w:val="24"/>
        </w:rPr>
        <w:t xml:space="preserve"> </w:t>
      </w:r>
    </w:p>
    <w:p w14:paraId="615F8745" w14:textId="77777777" w:rsidR="00034741" w:rsidRPr="00C1054E" w:rsidRDefault="00034741" w:rsidP="00034741">
      <w:pPr>
        <w:spacing w:after="0" w:line="240" w:lineRule="auto"/>
        <w:rPr>
          <w:rFonts w:ascii="Arial" w:hAnsi="Arial" w:cs="Arial"/>
          <w:color w:val="000000" w:themeColor="text1"/>
          <w:sz w:val="24"/>
          <w:szCs w:val="24"/>
        </w:rPr>
      </w:pPr>
      <w:r w:rsidRPr="00C1054E">
        <w:rPr>
          <w:rFonts w:ascii="Arial" w:hAnsi="Arial" w:cs="Arial"/>
          <w:color w:val="000000" w:themeColor="text1"/>
          <w:sz w:val="24"/>
          <w:szCs w:val="24"/>
        </w:rPr>
        <w:t xml:space="preserve">Cámara de Representantes </w:t>
      </w:r>
    </w:p>
    <w:p w14:paraId="28D558AE" w14:textId="77777777" w:rsidR="00034741" w:rsidRPr="00C1054E" w:rsidRDefault="00034741" w:rsidP="00034741">
      <w:pPr>
        <w:spacing w:after="0" w:line="240" w:lineRule="auto"/>
        <w:rPr>
          <w:rFonts w:ascii="Arial" w:hAnsi="Arial" w:cs="Arial"/>
          <w:color w:val="000000" w:themeColor="text1"/>
          <w:sz w:val="24"/>
          <w:szCs w:val="24"/>
        </w:rPr>
      </w:pPr>
      <w:r w:rsidRPr="00C1054E">
        <w:rPr>
          <w:rFonts w:ascii="Arial" w:hAnsi="Arial" w:cs="Arial"/>
          <w:color w:val="000000" w:themeColor="text1"/>
          <w:sz w:val="24"/>
          <w:szCs w:val="24"/>
        </w:rPr>
        <w:t>Ciudad</w:t>
      </w:r>
    </w:p>
    <w:p w14:paraId="1BB7D34B" w14:textId="77777777" w:rsidR="00034741" w:rsidRPr="00C1054E" w:rsidRDefault="00034741" w:rsidP="00034741">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7631B40B" w14:textId="25C08383" w:rsidR="00034741" w:rsidRPr="00C1054E" w:rsidRDefault="00034741" w:rsidP="00BB5DF7">
      <w:pPr>
        <w:spacing w:after="0" w:line="240" w:lineRule="auto"/>
        <w:ind w:left="3600"/>
        <w:jc w:val="both"/>
        <w:rPr>
          <w:rFonts w:ascii="Arial" w:eastAsia="Arial" w:hAnsi="Arial" w:cs="Arial"/>
          <w:color w:val="000000" w:themeColor="text1"/>
          <w:sz w:val="24"/>
          <w:szCs w:val="24"/>
        </w:rPr>
      </w:pPr>
      <w:r w:rsidRPr="00C1054E">
        <w:rPr>
          <w:rFonts w:ascii="Arial" w:eastAsia="Arial" w:hAnsi="Arial" w:cs="Arial"/>
          <w:b/>
          <w:bCs/>
          <w:color w:val="000000" w:themeColor="text1"/>
          <w:sz w:val="24"/>
          <w:szCs w:val="24"/>
        </w:rPr>
        <w:t>Referencia:</w:t>
      </w:r>
      <w:r w:rsidRPr="00C1054E">
        <w:rPr>
          <w:rFonts w:ascii="Arial" w:eastAsia="Arial" w:hAnsi="Arial" w:cs="Arial"/>
          <w:color w:val="000000" w:themeColor="text1"/>
          <w:sz w:val="24"/>
          <w:szCs w:val="24"/>
        </w:rPr>
        <w:t xml:space="preserve"> Ponencia para primer debate del proyecto de Ley No. </w:t>
      </w:r>
      <w:r w:rsidR="00AF5C2E" w:rsidRPr="00C1054E">
        <w:rPr>
          <w:rFonts w:ascii="Arial" w:eastAsia="Arial" w:hAnsi="Arial" w:cs="Arial"/>
          <w:color w:val="000000" w:themeColor="text1"/>
          <w:sz w:val="24"/>
          <w:szCs w:val="24"/>
        </w:rPr>
        <w:t>106</w:t>
      </w:r>
      <w:r w:rsidRPr="00C1054E">
        <w:rPr>
          <w:rFonts w:ascii="Arial" w:eastAsia="Arial" w:hAnsi="Arial" w:cs="Arial"/>
          <w:color w:val="000000" w:themeColor="text1"/>
          <w:sz w:val="24"/>
          <w:szCs w:val="24"/>
        </w:rPr>
        <w:t xml:space="preserve"> de 2022 Cámara “</w:t>
      </w:r>
      <w:r w:rsidR="00AF5C2E" w:rsidRPr="00C1054E">
        <w:rPr>
          <w:rFonts w:ascii="Arial" w:eastAsia="Arial" w:hAnsi="Arial" w:cs="Arial"/>
          <w:color w:val="000000" w:themeColor="text1"/>
          <w:sz w:val="24"/>
          <w:szCs w:val="24"/>
        </w:rPr>
        <w:t xml:space="preserve">Por medio del cual </w:t>
      </w:r>
      <w:bookmarkStart w:id="1" w:name="244"/>
      <w:r w:rsidR="00AF5C2E" w:rsidRPr="00C1054E">
        <w:rPr>
          <w:rFonts w:ascii="Arial" w:eastAsia="Arial" w:hAnsi="Arial" w:cs="Arial"/>
          <w:color w:val="000000" w:themeColor="text1"/>
          <w:sz w:val="24"/>
          <w:szCs w:val="24"/>
        </w:rPr>
        <w:t>se establece el ingreso base de cotización (IBC) de los independientes</w:t>
      </w:r>
      <w:bookmarkEnd w:id="1"/>
      <w:r w:rsidR="00AF5C2E" w:rsidRPr="00C1054E">
        <w:rPr>
          <w:rFonts w:ascii="Arial" w:eastAsia="Arial" w:hAnsi="Arial" w:cs="Arial"/>
          <w:color w:val="000000" w:themeColor="text1"/>
          <w:sz w:val="24"/>
          <w:szCs w:val="24"/>
        </w:rPr>
        <w:t>” o “Ley de dignificación y protección de los trabajadores independientes</w:t>
      </w:r>
      <w:r w:rsidR="00BB5DF7" w:rsidRPr="00C1054E">
        <w:rPr>
          <w:rFonts w:ascii="Arial" w:eastAsia="Arial" w:hAnsi="Arial" w:cs="Arial"/>
          <w:color w:val="000000" w:themeColor="text1"/>
          <w:sz w:val="24"/>
          <w:szCs w:val="24"/>
        </w:rPr>
        <w:t>”</w:t>
      </w:r>
      <w:r w:rsidRPr="00C1054E">
        <w:rPr>
          <w:rFonts w:ascii="Arial" w:eastAsia="Arial" w:hAnsi="Arial" w:cs="Arial"/>
          <w:color w:val="000000" w:themeColor="text1"/>
          <w:sz w:val="24"/>
          <w:szCs w:val="24"/>
        </w:rPr>
        <w:t>.</w:t>
      </w:r>
    </w:p>
    <w:p w14:paraId="6BD4F4FE" w14:textId="77777777" w:rsidR="00034741" w:rsidRPr="00C1054E" w:rsidRDefault="00034741" w:rsidP="00034741">
      <w:pPr>
        <w:pBdr>
          <w:top w:val="nil"/>
          <w:left w:val="nil"/>
          <w:bottom w:val="nil"/>
          <w:right w:val="nil"/>
          <w:between w:val="nil"/>
        </w:pBdr>
        <w:spacing w:after="0" w:line="240" w:lineRule="auto"/>
        <w:jc w:val="both"/>
        <w:rPr>
          <w:rFonts w:ascii="Arial" w:eastAsia="Arial" w:hAnsi="Arial" w:cs="Arial"/>
          <w:color w:val="000000" w:themeColor="text1"/>
          <w:sz w:val="24"/>
          <w:szCs w:val="24"/>
        </w:rPr>
      </w:pPr>
    </w:p>
    <w:p w14:paraId="63C79CCC" w14:textId="77777777" w:rsidR="00034741" w:rsidRPr="00C1054E" w:rsidRDefault="00034741" w:rsidP="00034741">
      <w:p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Respetado Presidente:</w:t>
      </w:r>
    </w:p>
    <w:p w14:paraId="71446B6B" w14:textId="5AFDCA34" w:rsidR="000F077E" w:rsidRPr="00C1054E" w:rsidRDefault="000F077E" w:rsidP="00034741">
      <w:pPr>
        <w:rPr>
          <w:rFonts w:ascii="Arial" w:hAnsi="Arial" w:cs="Arial"/>
          <w:color w:val="000000" w:themeColor="text1"/>
          <w:sz w:val="24"/>
          <w:szCs w:val="24"/>
        </w:rPr>
      </w:pPr>
    </w:p>
    <w:p w14:paraId="3AE33500" w14:textId="68168520" w:rsidR="00034741" w:rsidRPr="00C1054E" w:rsidRDefault="00034741" w:rsidP="00034741">
      <w:pPr>
        <w:pBdr>
          <w:top w:val="nil"/>
          <w:left w:val="nil"/>
          <w:bottom w:val="nil"/>
          <w:right w:val="nil"/>
          <w:between w:val="nil"/>
        </w:pBdr>
        <w:jc w:val="both"/>
        <w:rPr>
          <w:rFonts w:ascii="Arial" w:hAnsi="Arial" w:cs="Arial"/>
          <w:color w:val="000000" w:themeColor="text1"/>
          <w:sz w:val="24"/>
          <w:szCs w:val="24"/>
        </w:rPr>
      </w:pPr>
      <w:r w:rsidRPr="00C1054E">
        <w:rPr>
          <w:rFonts w:ascii="Arial" w:hAnsi="Arial" w:cs="Arial"/>
          <w:color w:val="000000" w:themeColor="text1"/>
          <w:sz w:val="24"/>
          <w:szCs w:val="24"/>
        </w:rPr>
        <w:t xml:space="preserve">En cumplimiento de la designación realizada por la Mesa Directiva de la Comisión </w:t>
      </w:r>
      <w:r w:rsidR="00B1248E" w:rsidRPr="00C1054E">
        <w:rPr>
          <w:rFonts w:ascii="Arial" w:hAnsi="Arial" w:cs="Arial"/>
          <w:color w:val="000000" w:themeColor="text1"/>
          <w:sz w:val="24"/>
          <w:szCs w:val="24"/>
        </w:rPr>
        <w:t xml:space="preserve">Séptima </w:t>
      </w:r>
      <w:r w:rsidRPr="00C1054E">
        <w:rPr>
          <w:rFonts w:ascii="Arial" w:hAnsi="Arial" w:cs="Arial"/>
          <w:color w:val="000000" w:themeColor="text1"/>
          <w:sz w:val="24"/>
          <w:szCs w:val="24"/>
        </w:rPr>
        <w:t>de la Cámara de Representantes, por medio del presente escrito nos permitimos rendir informe de ponencia positiva para primer debate al proyecto de ley de la referencia.</w:t>
      </w:r>
    </w:p>
    <w:p w14:paraId="30E75A94" w14:textId="77777777" w:rsidR="00B1248E" w:rsidRPr="00C1054E" w:rsidRDefault="00034741" w:rsidP="00B1248E">
      <w:pPr>
        <w:pStyle w:val="Ttulo1"/>
        <w:tabs>
          <w:tab w:val="left" w:pos="821"/>
          <w:tab w:val="left" w:pos="822"/>
        </w:tabs>
        <w:rPr>
          <w:rFonts w:ascii="Arial" w:hAnsi="Arial" w:cs="Arial"/>
          <w:color w:val="000000" w:themeColor="text1"/>
          <w:sz w:val="24"/>
          <w:szCs w:val="24"/>
        </w:rPr>
      </w:pPr>
      <w:r w:rsidRPr="00C1054E">
        <w:rPr>
          <w:rFonts w:ascii="Arial" w:hAnsi="Arial" w:cs="Arial"/>
          <w:color w:val="000000" w:themeColor="text1"/>
          <w:sz w:val="24"/>
          <w:szCs w:val="24"/>
        </w:rPr>
        <w:t>TRÁMITE DE LA INICIATIVA</w:t>
      </w:r>
    </w:p>
    <w:p w14:paraId="187C6CCF" w14:textId="0268B2AA" w:rsidR="00B75BCF" w:rsidRPr="00C1054E" w:rsidRDefault="00AF5C2E" w:rsidP="00B75BCF">
      <w:pPr>
        <w:pStyle w:val="Ttulo1"/>
        <w:tabs>
          <w:tab w:val="left" w:pos="821"/>
          <w:tab w:val="left" w:pos="822"/>
        </w:tabs>
        <w:jc w:val="both"/>
        <w:rPr>
          <w:rFonts w:ascii="Arial" w:hAnsi="Arial" w:cs="Arial"/>
          <w:b w:val="0"/>
          <w:color w:val="000000" w:themeColor="text1"/>
          <w:sz w:val="24"/>
          <w:szCs w:val="24"/>
        </w:rPr>
      </w:pPr>
      <w:r w:rsidRPr="00C1054E">
        <w:rPr>
          <w:rFonts w:ascii="Arial" w:hAnsi="Arial" w:cs="Arial"/>
          <w:b w:val="0"/>
          <w:color w:val="000000" w:themeColor="text1"/>
          <w:sz w:val="24"/>
          <w:szCs w:val="24"/>
        </w:rPr>
        <w:t>El pasado 3</w:t>
      </w:r>
      <w:r w:rsidR="00B75BCF" w:rsidRPr="00C1054E">
        <w:rPr>
          <w:rFonts w:ascii="Arial" w:hAnsi="Arial" w:cs="Arial"/>
          <w:b w:val="0"/>
          <w:color w:val="000000" w:themeColor="text1"/>
          <w:sz w:val="24"/>
          <w:szCs w:val="24"/>
        </w:rPr>
        <w:t xml:space="preserve"> de </w:t>
      </w:r>
      <w:r w:rsidRPr="00C1054E">
        <w:rPr>
          <w:rFonts w:ascii="Arial" w:hAnsi="Arial" w:cs="Arial"/>
          <w:b w:val="0"/>
          <w:color w:val="000000" w:themeColor="text1"/>
          <w:sz w:val="24"/>
          <w:szCs w:val="24"/>
        </w:rPr>
        <w:t xml:space="preserve">agosto </w:t>
      </w:r>
      <w:r w:rsidR="00B75BCF" w:rsidRPr="00C1054E">
        <w:rPr>
          <w:rFonts w:ascii="Arial" w:hAnsi="Arial" w:cs="Arial"/>
          <w:b w:val="0"/>
          <w:color w:val="000000" w:themeColor="text1"/>
          <w:sz w:val="24"/>
          <w:szCs w:val="24"/>
        </w:rPr>
        <w:t>de 2022</w:t>
      </w:r>
      <w:r w:rsidR="00034741" w:rsidRPr="00C1054E">
        <w:rPr>
          <w:rFonts w:ascii="Arial" w:hAnsi="Arial" w:cs="Arial"/>
          <w:b w:val="0"/>
          <w:color w:val="000000" w:themeColor="text1"/>
          <w:sz w:val="24"/>
          <w:szCs w:val="24"/>
        </w:rPr>
        <w:t xml:space="preserve"> fue radicado en la Secretaría General de l</w:t>
      </w:r>
      <w:r w:rsidR="00B75BCF" w:rsidRPr="00C1054E">
        <w:rPr>
          <w:rFonts w:ascii="Arial" w:hAnsi="Arial" w:cs="Arial"/>
          <w:b w:val="0"/>
          <w:color w:val="000000" w:themeColor="text1"/>
          <w:sz w:val="24"/>
          <w:szCs w:val="24"/>
        </w:rPr>
        <w:t xml:space="preserve">a Cámara, el Proyecto de Ley </w:t>
      </w:r>
      <w:r w:rsidRPr="00C1054E">
        <w:rPr>
          <w:rFonts w:ascii="Arial" w:hAnsi="Arial" w:cs="Arial"/>
          <w:b w:val="0"/>
          <w:color w:val="000000" w:themeColor="text1"/>
          <w:sz w:val="24"/>
          <w:szCs w:val="24"/>
        </w:rPr>
        <w:t>106</w:t>
      </w:r>
      <w:r w:rsidR="00BB5DF7" w:rsidRPr="00C1054E">
        <w:rPr>
          <w:rFonts w:ascii="Arial" w:hAnsi="Arial" w:cs="Arial"/>
          <w:b w:val="0"/>
          <w:color w:val="000000" w:themeColor="text1"/>
          <w:sz w:val="24"/>
          <w:szCs w:val="24"/>
        </w:rPr>
        <w:t xml:space="preserve"> </w:t>
      </w:r>
      <w:r w:rsidR="00B75BCF" w:rsidRPr="00C1054E">
        <w:rPr>
          <w:rFonts w:ascii="Arial" w:hAnsi="Arial" w:cs="Arial"/>
          <w:b w:val="0"/>
          <w:color w:val="000000" w:themeColor="text1"/>
          <w:sz w:val="24"/>
          <w:szCs w:val="24"/>
        </w:rPr>
        <w:t>de 2022</w:t>
      </w:r>
      <w:r w:rsidR="00034741" w:rsidRPr="00C1054E">
        <w:rPr>
          <w:rFonts w:ascii="Arial" w:hAnsi="Arial" w:cs="Arial"/>
          <w:b w:val="0"/>
          <w:color w:val="000000" w:themeColor="text1"/>
          <w:sz w:val="24"/>
          <w:szCs w:val="24"/>
        </w:rPr>
        <w:t>, y publi</w:t>
      </w:r>
      <w:r w:rsidRPr="00C1054E">
        <w:rPr>
          <w:rFonts w:ascii="Arial" w:hAnsi="Arial" w:cs="Arial"/>
          <w:b w:val="0"/>
          <w:color w:val="000000" w:themeColor="text1"/>
          <w:sz w:val="24"/>
          <w:szCs w:val="24"/>
        </w:rPr>
        <w:t>cado en la Gaceta 962</w:t>
      </w:r>
      <w:r w:rsidR="00B75BCF" w:rsidRPr="00C1054E">
        <w:rPr>
          <w:rFonts w:ascii="Arial" w:hAnsi="Arial" w:cs="Arial"/>
          <w:b w:val="0"/>
          <w:color w:val="000000" w:themeColor="text1"/>
          <w:sz w:val="24"/>
          <w:szCs w:val="24"/>
        </w:rPr>
        <w:t xml:space="preserve"> de 2022</w:t>
      </w:r>
      <w:r w:rsidR="004C4F86" w:rsidRPr="00C1054E">
        <w:rPr>
          <w:rFonts w:ascii="Arial" w:hAnsi="Arial" w:cs="Arial"/>
          <w:b w:val="0"/>
          <w:color w:val="000000" w:themeColor="text1"/>
          <w:sz w:val="24"/>
          <w:szCs w:val="24"/>
        </w:rPr>
        <w:t>. La iniciativa tiene como</w:t>
      </w:r>
      <w:r w:rsidR="00B75BCF" w:rsidRPr="00C1054E">
        <w:rPr>
          <w:rFonts w:ascii="Arial" w:hAnsi="Arial" w:cs="Arial"/>
          <w:b w:val="0"/>
          <w:color w:val="000000" w:themeColor="text1"/>
          <w:sz w:val="24"/>
          <w:szCs w:val="24"/>
        </w:rPr>
        <w:t xml:space="preserve"> autor</w:t>
      </w:r>
      <w:r w:rsidR="004C4F86" w:rsidRPr="00C1054E">
        <w:rPr>
          <w:rFonts w:ascii="Arial" w:hAnsi="Arial" w:cs="Arial"/>
          <w:b w:val="0"/>
          <w:color w:val="000000" w:themeColor="text1"/>
          <w:sz w:val="24"/>
          <w:szCs w:val="24"/>
        </w:rPr>
        <w:t>es a los Congresistas</w:t>
      </w:r>
      <w:r w:rsidRPr="00C1054E">
        <w:rPr>
          <w:rFonts w:ascii="Arial" w:hAnsi="Arial" w:cs="Arial"/>
          <w:b w:val="0"/>
          <w:color w:val="000000" w:themeColor="text1"/>
          <w:sz w:val="24"/>
          <w:szCs w:val="24"/>
        </w:rPr>
        <w:t xml:space="preserve"> </w:t>
      </w:r>
      <w:r w:rsidR="004C4F86" w:rsidRPr="00C1054E">
        <w:rPr>
          <w:rFonts w:ascii="Arial" w:hAnsi="Arial" w:cs="Arial"/>
          <w:b w:val="0"/>
          <w:color w:val="000000" w:themeColor="text1"/>
          <w:sz w:val="24"/>
          <w:szCs w:val="24"/>
        </w:rPr>
        <w:t>Héctor David Chaparro, German</w:t>
      </w:r>
      <w:r w:rsidRPr="00C1054E">
        <w:rPr>
          <w:rFonts w:ascii="Arial" w:hAnsi="Arial" w:cs="Arial"/>
          <w:b w:val="0"/>
          <w:color w:val="000000" w:themeColor="text1"/>
          <w:sz w:val="24"/>
          <w:szCs w:val="24"/>
        </w:rPr>
        <w:t xml:space="preserve"> Rogelio</w:t>
      </w:r>
      <w:r w:rsidR="004C4F86" w:rsidRPr="00C1054E">
        <w:rPr>
          <w:rFonts w:ascii="Arial" w:hAnsi="Arial" w:cs="Arial"/>
          <w:b w:val="0"/>
          <w:color w:val="000000" w:themeColor="text1"/>
          <w:sz w:val="24"/>
          <w:szCs w:val="24"/>
        </w:rPr>
        <w:t xml:space="preserve"> Rozo,</w:t>
      </w:r>
      <w:r w:rsidRPr="00C1054E">
        <w:rPr>
          <w:rFonts w:ascii="Arial" w:hAnsi="Arial" w:cs="Arial"/>
          <w:b w:val="0"/>
          <w:color w:val="000000" w:themeColor="text1"/>
          <w:sz w:val="24"/>
          <w:szCs w:val="24"/>
        </w:rPr>
        <w:t xml:space="preserve"> Hugo Alfonso Archila, Carlos Felipe Quintero</w:t>
      </w:r>
      <w:r w:rsidR="004C4F86" w:rsidRPr="00C1054E">
        <w:rPr>
          <w:rFonts w:ascii="Arial" w:hAnsi="Arial" w:cs="Arial"/>
          <w:b w:val="0"/>
          <w:color w:val="000000" w:themeColor="text1"/>
          <w:sz w:val="24"/>
          <w:szCs w:val="24"/>
        </w:rPr>
        <w:t xml:space="preserve">. </w:t>
      </w:r>
    </w:p>
    <w:p w14:paraId="61AD52F2" w14:textId="41816AC2" w:rsidR="00034741" w:rsidRPr="00C1054E" w:rsidRDefault="00034741" w:rsidP="00B75BCF">
      <w:pPr>
        <w:pStyle w:val="Ttulo1"/>
        <w:tabs>
          <w:tab w:val="left" w:pos="821"/>
          <w:tab w:val="left" w:pos="822"/>
        </w:tabs>
        <w:jc w:val="both"/>
        <w:rPr>
          <w:rFonts w:ascii="Arial" w:hAnsi="Arial" w:cs="Arial"/>
          <w:b w:val="0"/>
          <w:color w:val="000000" w:themeColor="text1"/>
          <w:sz w:val="24"/>
          <w:szCs w:val="24"/>
        </w:rPr>
      </w:pPr>
      <w:r w:rsidRPr="00C1054E">
        <w:rPr>
          <w:rFonts w:ascii="Arial" w:hAnsi="Arial" w:cs="Arial"/>
          <w:b w:val="0"/>
          <w:color w:val="000000" w:themeColor="text1"/>
          <w:sz w:val="24"/>
          <w:szCs w:val="24"/>
        </w:rPr>
        <w:t>Por designación de la Mesa Directi</w:t>
      </w:r>
      <w:r w:rsidR="00B75BCF" w:rsidRPr="00C1054E">
        <w:rPr>
          <w:rFonts w:ascii="Arial" w:hAnsi="Arial" w:cs="Arial"/>
          <w:b w:val="0"/>
          <w:color w:val="000000" w:themeColor="text1"/>
          <w:sz w:val="24"/>
          <w:szCs w:val="24"/>
        </w:rPr>
        <w:t>va de la Honorable Comisión Sé</w:t>
      </w:r>
      <w:r w:rsidR="009F2AAE" w:rsidRPr="00C1054E">
        <w:rPr>
          <w:rFonts w:ascii="Arial" w:hAnsi="Arial" w:cs="Arial"/>
          <w:b w:val="0"/>
          <w:color w:val="000000" w:themeColor="text1"/>
          <w:sz w:val="24"/>
          <w:szCs w:val="24"/>
        </w:rPr>
        <w:t>p</w:t>
      </w:r>
      <w:r w:rsidR="00B75BCF" w:rsidRPr="00C1054E">
        <w:rPr>
          <w:rFonts w:ascii="Arial" w:hAnsi="Arial" w:cs="Arial"/>
          <w:b w:val="0"/>
          <w:color w:val="000000" w:themeColor="text1"/>
          <w:sz w:val="24"/>
          <w:szCs w:val="24"/>
        </w:rPr>
        <w:t xml:space="preserve">tima </w:t>
      </w:r>
      <w:r w:rsidRPr="00C1054E">
        <w:rPr>
          <w:rFonts w:ascii="Arial" w:hAnsi="Arial" w:cs="Arial"/>
          <w:b w:val="0"/>
          <w:color w:val="000000" w:themeColor="text1"/>
          <w:sz w:val="24"/>
          <w:szCs w:val="24"/>
        </w:rPr>
        <w:t>Constitucional de la Cámara se nombraron los ponentes para el estudio de esa ini</w:t>
      </w:r>
      <w:r w:rsidR="00B75BCF" w:rsidRPr="00C1054E">
        <w:rPr>
          <w:rFonts w:ascii="Arial" w:hAnsi="Arial" w:cs="Arial"/>
          <w:b w:val="0"/>
          <w:color w:val="000000" w:themeColor="text1"/>
          <w:sz w:val="24"/>
          <w:szCs w:val="24"/>
        </w:rPr>
        <w:t xml:space="preserve">ciativa legislativa a los H.R. Héctor David Chaparro </w:t>
      </w:r>
      <w:r w:rsidR="005263A5" w:rsidRPr="00C1054E">
        <w:rPr>
          <w:rFonts w:ascii="Arial" w:hAnsi="Arial" w:cs="Arial"/>
          <w:b w:val="0"/>
          <w:color w:val="000000" w:themeColor="text1"/>
          <w:sz w:val="24"/>
          <w:szCs w:val="24"/>
        </w:rPr>
        <w:t xml:space="preserve">(coordinador) y al </w:t>
      </w:r>
      <w:r w:rsidRPr="00C1054E">
        <w:rPr>
          <w:rFonts w:ascii="Arial" w:hAnsi="Arial" w:cs="Arial"/>
          <w:b w:val="0"/>
          <w:color w:val="000000" w:themeColor="text1"/>
          <w:sz w:val="24"/>
          <w:szCs w:val="24"/>
        </w:rPr>
        <w:t xml:space="preserve">H.R. </w:t>
      </w:r>
      <w:r w:rsidR="005263A5" w:rsidRPr="00C1054E">
        <w:rPr>
          <w:rFonts w:ascii="Arial" w:hAnsi="Arial" w:cs="Arial"/>
          <w:b w:val="0"/>
          <w:color w:val="000000" w:themeColor="text1"/>
          <w:sz w:val="24"/>
          <w:szCs w:val="24"/>
        </w:rPr>
        <w:t>Víctor Manuel Salcedo</w:t>
      </w:r>
      <w:r w:rsidR="00B75BCF" w:rsidRPr="00C1054E">
        <w:rPr>
          <w:rFonts w:ascii="Arial" w:hAnsi="Arial" w:cs="Arial"/>
          <w:b w:val="0"/>
          <w:color w:val="000000" w:themeColor="text1"/>
          <w:sz w:val="24"/>
          <w:szCs w:val="24"/>
        </w:rPr>
        <w:t xml:space="preserve">. </w:t>
      </w:r>
      <w:r w:rsidRPr="00C1054E">
        <w:rPr>
          <w:rFonts w:ascii="Arial" w:hAnsi="Arial" w:cs="Arial"/>
          <w:b w:val="0"/>
          <w:color w:val="000000" w:themeColor="text1"/>
          <w:sz w:val="24"/>
          <w:szCs w:val="24"/>
        </w:rPr>
        <w:t>Lo anterior media</w:t>
      </w:r>
      <w:r w:rsidR="00B75BCF" w:rsidRPr="00C1054E">
        <w:rPr>
          <w:rFonts w:ascii="Arial" w:hAnsi="Arial" w:cs="Arial"/>
          <w:b w:val="0"/>
          <w:color w:val="000000" w:themeColor="text1"/>
          <w:sz w:val="24"/>
          <w:szCs w:val="24"/>
        </w:rPr>
        <w:t>nte nota interna No. C.S.C.P.3.7</w:t>
      </w:r>
      <w:r w:rsidR="002934DA" w:rsidRPr="00C1054E">
        <w:rPr>
          <w:rFonts w:ascii="Arial" w:hAnsi="Arial" w:cs="Arial"/>
          <w:b w:val="0"/>
          <w:color w:val="000000" w:themeColor="text1"/>
          <w:sz w:val="24"/>
          <w:szCs w:val="24"/>
        </w:rPr>
        <w:t xml:space="preserve"> – </w:t>
      </w:r>
      <w:r w:rsidR="00E1653D" w:rsidRPr="00C1054E">
        <w:rPr>
          <w:rFonts w:ascii="Arial" w:hAnsi="Arial" w:cs="Arial"/>
          <w:b w:val="0"/>
          <w:color w:val="000000" w:themeColor="text1"/>
          <w:sz w:val="24"/>
          <w:szCs w:val="24"/>
        </w:rPr>
        <w:t>782</w:t>
      </w:r>
      <w:r w:rsidR="002934DA" w:rsidRPr="00C1054E">
        <w:rPr>
          <w:rFonts w:ascii="Arial" w:hAnsi="Arial" w:cs="Arial"/>
          <w:b w:val="0"/>
          <w:color w:val="000000" w:themeColor="text1"/>
          <w:sz w:val="24"/>
          <w:szCs w:val="24"/>
        </w:rPr>
        <w:t>-</w:t>
      </w:r>
      <w:r w:rsidR="008D6361" w:rsidRPr="00C1054E">
        <w:rPr>
          <w:rFonts w:ascii="Arial" w:hAnsi="Arial" w:cs="Arial"/>
          <w:b w:val="0"/>
          <w:color w:val="000000" w:themeColor="text1"/>
          <w:sz w:val="24"/>
          <w:szCs w:val="24"/>
        </w:rPr>
        <w:t>22</w:t>
      </w:r>
      <w:r w:rsidRPr="00C1054E">
        <w:rPr>
          <w:rFonts w:ascii="Arial" w:hAnsi="Arial" w:cs="Arial"/>
          <w:b w:val="0"/>
          <w:color w:val="000000" w:themeColor="text1"/>
          <w:sz w:val="24"/>
          <w:szCs w:val="24"/>
        </w:rPr>
        <w:t xml:space="preserve">. </w:t>
      </w:r>
    </w:p>
    <w:p w14:paraId="1DFC859C" w14:textId="77777777" w:rsidR="00034741" w:rsidRPr="00C1054E" w:rsidRDefault="00034741" w:rsidP="00034741">
      <w:pPr>
        <w:jc w:val="both"/>
        <w:rPr>
          <w:rFonts w:ascii="Arial" w:hAnsi="Arial" w:cs="Arial"/>
          <w:color w:val="000000" w:themeColor="text1"/>
          <w:sz w:val="24"/>
          <w:szCs w:val="24"/>
        </w:rPr>
      </w:pPr>
    </w:p>
    <w:p w14:paraId="7B9E82AB" w14:textId="77777777" w:rsidR="00034741" w:rsidRPr="00C1054E" w:rsidRDefault="00034741" w:rsidP="00034741">
      <w:pPr>
        <w:numPr>
          <w:ilvl w:val="0"/>
          <w:numId w:val="29"/>
        </w:numPr>
        <w:pBdr>
          <w:top w:val="nil"/>
          <w:left w:val="nil"/>
          <w:bottom w:val="nil"/>
          <w:right w:val="nil"/>
          <w:between w:val="nil"/>
        </w:pBdr>
        <w:spacing w:after="0" w:line="240" w:lineRule="auto"/>
        <w:jc w:val="both"/>
        <w:rPr>
          <w:rFonts w:ascii="Arial" w:hAnsi="Arial" w:cs="Arial"/>
          <w:b/>
          <w:color w:val="000000" w:themeColor="text1"/>
          <w:sz w:val="24"/>
          <w:szCs w:val="24"/>
        </w:rPr>
      </w:pPr>
      <w:r w:rsidRPr="00C1054E">
        <w:rPr>
          <w:rFonts w:ascii="Arial" w:hAnsi="Arial" w:cs="Arial"/>
          <w:b/>
          <w:color w:val="000000" w:themeColor="text1"/>
          <w:sz w:val="24"/>
          <w:szCs w:val="24"/>
        </w:rPr>
        <w:t xml:space="preserve">OBJETO DEL PROYECTO DE LEY </w:t>
      </w:r>
    </w:p>
    <w:p w14:paraId="3748204C" w14:textId="77777777" w:rsidR="007A6A16" w:rsidRPr="00C1054E" w:rsidRDefault="007A6A16" w:rsidP="007A6A16">
      <w:pPr>
        <w:spacing w:line="276" w:lineRule="auto"/>
        <w:rPr>
          <w:rFonts w:ascii="Arial" w:hAnsi="Arial" w:cs="Arial"/>
          <w:color w:val="000000" w:themeColor="text1"/>
          <w:sz w:val="24"/>
          <w:szCs w:val="24"/>
        </w:rPr>
      </w:pPr>
    </w:p>
    <w:p w14:paraId="35A5CE6F" w14:textId="64E16E0F" w:rsidR="007A6A16" w:rsidRPr="00C1054E" w:rsidRDefault="007A6A16" w:rsidP="007A6A16">
      <w:pPr>
        <w:spacing w:line="276" w:lineRule="auto"/>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Esta iniciativa tiene como antecedente el Proyecto de Ley 160 de 2020 Cámara – 211 de 2021 Senado, que por términos legislativos fue archivado en el Senado de la República. Esta iniciativa contaba con el aval del gobierno nacional. </w:t>
      </w:r>
    </w:p>
    <w:p w14:paraId="34ED54DD" w14:textId="77777777" w:rsidR="007A6A16" w:rsidRPr="00C1054E" w:rsidRDefault="007A6A16" w:rsidP="007A6A16">
      <w:pPr>
        <w:spacing w:line="276"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lastRenderedPageBreak/>
        <w:t xml:space="preserve">Tiene como objeto establecer el marco normativo para que los trabajadores independientes por cuenta propia que tienen contratos de prestación de servicios, los independientes con contratos diferentes a prestación de servicios personales y para aquellos contratistas públicos y privados que por sus funciones intervengan en actos u operaciones en los cuales deban, por expresa disposición legal, deban efectuar retención de aportes al sistema de seguridad social integral; tengan la seguridad jurídica para realizar sus aportes, en lo que refiere al monto, base ingreso de cotización y oportunidad para hacerlo. </w:t>
      </w:r>
    </w:p>
    <w:p w14:paraId="2A67DB25" w14:textId="50B727FB" w:rsidR="007A6A16" w:rsidRPr="00C1054E" w:rsidRDefault="007A6A16" w:rsidP="007A6A16">
      <w:pPr>
        <w:spacing w:line="276"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Lo anterior con el fin de cumplir los fallos de la Corte Constitucional, sentencia C-219 del 2019 y C-068 del 2020, que declararon inconstitucionales las leyes 1753 del 2015 y 1955 del 2019, por desconocer el principio de unidad de materia. </w:t>
      </w:r>
    </w:p>
    <w:p w14:paraId="747E7A52" w14:textId="77777777" w:rsidR="00034741" w:rsidRPr="00C1054E" w:rsidRDefault="00034741" w:rsidP="00034741">
      <w:pPr>
        <w:numPr>
          <w:ilvl w:val="0"/>
          <w:numId w:val="29"/>
        </w:numPr>
        <w:pBdr>
          <w:top w:val="nil"/>
          <w:left w:val="nil"/>
          <w:bottom w:val="nil"/>
          <w:right w:val="nil"/>
          <w:between w:val="nil"/>
        </w:pBdr>
        <w:spacing w:after="0" w:line="240" w:lineRule="auto"/>
        <w:jc w:val="both"/>
        <w:rPr>
          <w:rFonts w:ascii="Arial" w:hAnsi="Arial" w:cs="Arial"/>
          <w:b/>
          <w:color w:val="000000" w:themeColor="text1"/>
          <w:sz w:val="24"/>
          <w:szCs w:val="24"/>
        </w:rPr>
      </w:pPr>
      <w:r w:rsidRPr="00C1054E">
        <w:rPr>
          <w:rFonts w:ascii="Arial" w:hAnsi="Arial" w:cs="Arial"/>
          <w:b/>
          <w:color w:val="000000" w:themeColor="text1"/>
          <w:sz w:val="24"/>
          <w:szCs w:val="24"/>
        </w:rPr>
        <w:t xml:space="preserve">JUSTIFICACIÓN DEL PROYECTO DE LEY </w:t>
      </w:r>
    </w:p>
    <w:p w14:paraId="2C81EB43" w14:textId="43A4F6D7" w:rsidR="00161A49" w:rsidRPr="00C1054E" w:rsidRDefault="00161A49" w:rsidP="00161A49">
      <w:pPr>
        <w:pBdr>
          <w:top w:val="nil"/>
          <w:left w:val="nil"/>
          <w:bottom w:val="nil"/>
          <w:right w:val="nil"/>
          <w:between w:val="nil"/>
        </w:pBdr>
        <w:jc w:val="both"/>
        <w:rPr>
          <w:rFonts w:ascii="Arial" w:hAnsi="Arial" w:cs="Arial"/>
          <w:color w:val="000000" w:themeColor="text1"/>
          <w:sz w:val="24"/>
          <w:szCs w:val="24"/>
        </w:rPr>
      </w:pPr>
    </w:p>
    <w:p w14:paraId="02E48F24" w14:textId="3DF66972" w:rsidR="00D06397" w:rsidRPr="00C1054E" w:rsidRDefault="00D06397" w:rsidP="00D06397">
      <w:pPr>
        <w:spacing w:line="276"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Medios de comunicación pusieron </w:t>
      </w:r>
      <w:r w:rsidR="00FA3906" w:rsidRPr="00C1054E">
        <w:rPr>
          <w:rFonts w:ascii="Arial" w:eastAsia="Arial" w:hAnsi="Arial" w:cs="Arial"/>
          <w:color w:val="000000" w:themeColor="text1"/>
          <w:sz w:val="24"/>
          <w:szCs w:val="24"/>
        </w:rPr>
        <w:t>de presente el limbo jurídico</w:t>
      </w:r>
      <w:r w:rsidRPr="00C1054E">
        <w:rPr>
          <w:rFonts w:ascii="Arial" w:eastAsia="Arial" w:hAnsi="Arial" w:cs="Arial"/>
          <w:color w:val="000000" w:themeColor="text1"/>
          <w:sz w:val="24"/>
          <w:szCs w:val="24"/>
        </w:rPr>
        <w:t xml:space="preserve"> que se puede generar por el fenecimiento del plazo que estableció la Co</w:t>
      </w:r>
      <w:r w:rsidR="00FA3906" w:rsidRPr="00C1054E">
        <w:rPr>
          <w:rFonts w:ascii="Arial" w:eastAsia="Arial" w:hAnsi="Arial" w:cs="Arial"/>
          <w:color w:val="000000" w:themeColor="text1"/>
          <w:sz w:val="24"/>
          <w:szCs w:val="24"/>
        </w:rPr>
        <w:t>rte Constitucional para que el C</w:t>
      </w:r>
      <w:r w:rsidRPr="00C1054E">
        <w:rPr>
          <w:rFonts w:ascii="Arial" w:eastAsia="Arial" w:hAnsi="Arial" w:cs="Arial"/>
          <w:color w:val="000000" w:themeColor="text1"/>
          <w:sz w:val="24"/>
          <w:szCs w:val="24"/>
        </w:rPr>
        <w:t xml:space="preserve">ongreso de la republica legisle sobre el objeto de esta iniciativa. Al respecto el medio digital Ámbito Jurídico describió la problemática en un artículo de prensa publicado en su página virtual el 28 de julio de 2022, señalando que: </w:t>
      </w:r>
    </w:p>
    <w:p w14:paraId="56D5BB08" w14:textId="77777777" w:rsidR="00D06397" w:rsidRPr="00C1054E" w:rsidRDefault="00D06397" w:rsidP="00D06397">
      <w:pPr>
        <w:spacing w:line="276" w:lineRule="auto"/>
        <w:ind w:left="327"/>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“La Sentencia C-068 del 19 de febrero del 2020 declaró la inconstitucionalidad del artículo 244 de la Ley 1955 del 2019, por desconocer el principio de unidad de materia previsto en el artículo 158 de la Constitución Política. Esta normativa fue importante, pues trajo como avances, entre otros, los sistemas de presunción de costos para el gremio transportista y los demás trabajadores independientes, desarrollados en las resoluciones 1400 del 2019 y 209 del 2020, expedidos por la UGPP, respectivamente. Sin embargo, esta reglamentación, entre otras cosas, dejó de tener efecto el 1º de julio del 2022, dado que, por un lado, el término de dos legislaturas siguientes a la publicación de la sentencia otorgado por la Corte Constitucional se cumplió el pasado 21 de junio del 2022, y por el otro, como los periodos fiscales en seguridad social son mensuales y la aplicación de la ley tributaria se efectúa a partir del periodo siguiente a su vigencia, de acuerdo con los artículos 338 y 363 de la Constitución, el antiguo marco de cotización en la base gravable para los trabajadores independientes volvería a regir a partir del mes julio”</w:t>
      </w:r>
      <w:r w:rsidRPr="00C1054E">
        <w:rPr>
          <w:rStyle w:val="Refdenotaalpie"/>
          <w:rFonts w:ascii="Arial" w:eastAsia="Arial" w:hAnsi="Arial" w:cs="Arial"/>
          <w:color w:val="000000" w:themeColor="text1"/>
          <w:sz w:val="24"/>
          <w:szCs w:val="24"/>
        </w:rPr>
        <w:footnoteReference w:id="1"/>
      </w:r>
      <w:r w:rsidRPr="00C1054E">
        <w:rPr>
          <w:rFonts w:ascii="Arial" w:eastAsia="Arial" w:hAnsi="Arial" w:cs="Arial"/>
          <w:color w:val="000000" w:themeColor="text1"/>
          <w:sz w:val="24"/>
          <w:szCs w:val="24"/>
        </w:rPr>
        <w:t>.</w:t>
      </w:r>
    </w:p>
    <w:p w14:paraId="607507A8" w14:textId="77777777" w:rsidR="00D06397" w:rsidRPr="00C1054E" w:rsidRDefault="00D06397" w:rsidP="00D06397">
      <w:pPr>
        <w:spacing w:line="276" w:lineRule="auto"/>
        <w:ind w:left="327"/>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Ante esta situación, resulta fundamental establecer las reglas que contenían las leyes que fueron declaradas inconstitucionales por la Corte Constitucional con el objetivo de garantizar condiciones dignas y justas para la cotización al sistema de seguridad social </w:t>
      </w:r>
      <w:r w:rsidRPr="00C1054E">
        <w:rPr>
          <w:rFonts w:ascii="Arial" w:eastAsia="Arial" w:hAnsi="Arial" w:cs="Arial"/>
          <w:color w:val="000000" w:themeColor="text1"/>
          <w:sz w:val="24"/>
          <w:szCs w:val="24"/>
        </w:rPr>
        <w:lastRenderedPageBreak/>
        <w:t xml:space="preserve">de cerca de 12 millones de colombianos en calidad de trabajadores independientes y contratistas, según la nota de prensa mencionada. </w:t>
      </w:r>
    </w:p>
    <w:p w14:paraId="2244A25B" w14:textId="3F087D99" w:rsidR="00566E34" w:rsidRPr="00C1054E" w:rsidRDefault="00566E34" w:rsidP="00566E34">
      <w:pPr>
        <w:pBdr>
          <w:top w:val="nil"/>
          <w:left w:val="nil"/>
          <w:bottom w:val="nil"/>
          <w:right w:val="nil"/>
          <w:between w:val="nil"/>
        </w:pBdr>
        <w:jc w:val="both"/>
        <w:rPr>
          <w:rFonts w:ascii="Arial" w:eastAsia="Arial" w:hAnsi="Arial" w:cs="Arial"/>
          <w:color w:val="000000" w:themeColor="text1"/>
          <w:sz w:val="24"/>
          <w:szCs w:val="24"/>
          <w:highlight w:val="white"/>
        </w:rPr>
      </w:pPr>
      <w:r w:rsidRPr="00C1054E">
        <w:rPr>
          <w:rFonts w:ascii="Arial" w:hAnsi="Arial" w:cs="Arial"/>
          <w:color w:val="000000" w:themeColor="text1"/>
          <w:sz w:val="24"/>
          <w:szCs w:val="24"/>
        </w:rPr>
        <w:t xml:space="preserve">Es que justamente la seguridad social en </w:t>
      </w:r>
      <w:r w:rsidR="0004500F" w:rsidRPr="00C1054E">
        <w:rPr>
          <w:rFonts w:ascii="Arial" w:hAnsi="Arial" w:cs="Arial"/>
          <w:color w:val="000000" w:themeColor="text1"/>
          <w:sz w:val="24"/>
          <w:szCs w:val="24"/>
        </w:rPr>
        <w:t>Colombia</w:t>
      </w:r>
      <w:r w:rsidRPr="00C1054E">
        <w:rPr>
          <w:rFonts w:ascii="Arial" w:hAnsi="Arial" w:cs="Arial"/>
          <w:color w:val="000000" w:themeColor="text1"/>
          <w:sz w:val="24"/>
          <w:szCs w:val="24"/>
        </w:rPr>
        <w:t xml:space="preserve"> ha tenido un desarrollo que sustenta la necesidad de esta iniciativa. Ha dicho la </w:t>
      </w:r>
      <w:r w:rsidRPr="00C1054E">
        <w:rPr>
          <w:rFonts w:ascii="Arial" w:eastAsia="Arial" w:hAnsi="Arial" w:cs="Arial"/>
          <w:color w:val="000000" w:themeColor="text1"/>
          <w:sz w:val="24"/>
          <w:szCs w:val="24"/>
          <w:highlight w:val="white"/>
        </w:rPr>
        <w:t xml:space="preserve">Corte Constitucional sobre el derecho a la seguridad social, en la sentencia T 192 de 2019 presenta la forma como este derecho ha adquirido el carácter de fundamental, su relación directa con la dignidad humana y las formas de garantizar este derecho, para esto la corporación tomando los argumentos de diferentes sentencias realiza un recuento de los principales postulados en la materia. </w:t>
      </w:r>
    </w:p>
    <w:p w14:paraId="3E1548E3" w14:textId="77777777" w:rsidR="00566E34" w:rsidRPr="00C1054E" w:rsidRDefault="00566E34" w:rsidP="00566E34">
      <w:pPr>
        <w:ind w:left="708"/>
        <w:jc w:val="both"/>
        <w:rPr>
          <w:rFonts w:ascii="Arial" w:eastAsia="Arial" w:hAnsi="Arial" w:cs="Arial"/>
          <w:color w:val="000000" w:themeColor="text1"/>
          <w:sz w:val="24"/>
          <w:szCs w:val="24"/>
          <w:highlight w:val="white"/>
        </w:rPr>
      </w:pPr>
      <w:r w:rsidRPr="00C1054E">
        <w:rPr>
          <w:rFonts w:ascii="Arial" w:eastAsia="Arial" w:hAnsi="Arial" w:cs="Arial"/>
          <w:color w:val="000000" w:themeColor="text1"/>
          <w:sz w:val="24"/>
          <w:szCs w:val="24"/>
          <w:highlight w:val="white"/>
        </w:rPr>
        <w:t xml:space="preserve">Inicialmente, este derecho fue considerado por esta Corporación como de carácter meramente prestacional y solo fue entendido como un derecho fundamental en la medida en que se concretara en una garantía de aplicación inmediata, como cuando, en aplicación de la tesis de la conexidad, se evidenciaba que su vulneración se materializaba en una afrenta contra el derecho a la vida o a la integridad personal (sentencia T 192 de 2019). </w:t>
      </w:r>
    </w:p>
    <w:p w14:paraId="5199FF69" w14:textId="77777777" w:rsidR="00566E34" w:rsidRPr="00C1054E" w:rsidRDefault="00566E34" w:rsidP="00566E34">
      <w:pPr>
        <w:shd w:val="clear" w:color="auto" w:fill="FFFFFF"/>
        <w:spacing w:after="0" w:line="240"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La Corte Constitucional en Sentencia T-742 de 2008, señaló que por su relación intrínseca con la dignidad humana:</w:t>
      </w:r>
    </w:p>
    <w:p w14:paraId="1BE83BE9" w14:textId="77777777" w:rsidR="00566E34" w:rsidRPr="00C1054E" w:rsidRDefault="00566E34" w:rsidP="00566E34">
      <w:pPr>
        <w:shd w:val="clear" w:color="auto" w:fill="FFFFFF"/>
        <w:spacing w:after="0" w:line="240"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w:t>
      </w:r>
    </w:p>
    <w:p w14:paraId="374F082D" w14:textId="055AA950" w:rsidR="00566E34" w:rsidRPr="00C1054E" w:rsidRDefault="00566E34" w:rsidP="00566E34">
      <w:pPr>
        <w:shd w:val="clear" w:color="auto" w:fill="FFFFFF"/>
        <w:spacing w:after="0" w:line="240" w:lineRule="auto"/>
        <w:ind w:left="708"/>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“la seguridad social es un verdadero derecho fundamental autónomo –calificado como “derecho irrenunciable” según el inciso 2° del artículo 48 constitucional; consagrado como “derecho de toda persona” de acuerdo al artículo 9° del PIDESC, el cual hace parte del bloque de constitucionalidad; y, finalmente, definido como “derecho humano” por parte del CDESC en la observación general número 19</w:t>
      </w:r>
      <w:r w:rsidR="0004500F" w:rsidRPr="00C1054E">
        <w:rPr>
          <w:rFonts w:ascii="Arial" w:eastAsia="Arial" w:hAnsi="Arial" w:cs="Arial"/>
          <w:color w:val="000000" w:themeColor="text1"/>
          <w:sz w:val="24"/>
          <w:szCs w:val="24"/>
        </w:rPr>
        <w:t>-” (Sentencia</w:t>
      </w:r>
      <w:r w:rsidRPr="00C1054E">
        <w:rPr>
          <w:rFonts w:ascii="Arial" w:eastAsia="Arial" w:hAnsi="Arial" w:cs="Arial"/>
          <w:color w:val="000000" w:themeColor="text1"/>
          <w:sz w:val="24"/>
          <w:szCs w:val="24"/>
        </w:rPr>
        <w:t xml:space="preserve"> T-742 de 2008)</w:t>
      </w:r>
      <w:r w:rsidR="0004500F" w:rsidRPr="00C1054E">
        <w:rPr>
          <w:rFonts w:ascii="Arial" w:eastAsia="Arial" w:hAnsi="Arial" w:cs="Arial"/>
          <w:color w:val="000000" w:themeColor="text1"/>
          <w:sz w:val="24"/>
          <w:szCs w:val="24"/>
        </w:rPr>
        <w:t>.</w:t>
      </w:r>
    </w:p>
    <w:p w14:paraId="6DF97877" w14:textId="77777777" w:rsidR="00566E34" w:rsidRPr="00C1054E" w:rsidRDefault="00566E34" w:rsidP="00566E34">
      <w:pPr>
        <w:rPr>
          <w:rFonts w:ascii="Arial" w:eastAsia="Arial" w:hAnsi="Arial" w:cs="Arial"/>
          <w:color w:val="000000" w:themeColor="text1"/>
          <w:sz w:val="24"/>
          <w:szCs w:val="24"/>
        </w:rPr>
      </w:pPr>
    </w:p>
    <w:p w14:paraId="168F706F" w14:textId="77777777" w:rsidR="00566E34" w:rsidRPr="00C1054E" w:rsidRDefault="00566E34" w:rsidP="00566E34">
      <w:pPr>
        <w:shd w:val="clear" w:color="auto" w:fill="FFFFFF"/>
        <w:spacing w:after="0" w:line="240"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Argumento reiterado en la Sentencia C-1141 de 2008: </w:t>
      </w:r>
    </w:p>
    <w:p w14:paraId="17D907E7" w14:textId="77777777" w:rsidR="00566E34" w:rsidRPr="00C1054E" w:rsidRDefault="00566E34" w:rsidP="00566E34">
      <w:pPr>
        <w:shd w:val="clear" w:color="auto" w:fill="FFFFFF"/>
        <w:spacing w:after="0" w:line="240" w:lineRule="auto"/>
        <w:jc w:val="both"/>
        <w:rPr>
          <w:rFonts w:ascii="Arial" w:eastAsia="Arial" w:hAnsi="Arial" w:cs="Arial"/>
          <w:color w:val="000000" w:themeColor="text1"/>
          <w:sz w:val="24"/>
          <w:szCs w:val="24"/>
        </w:rPr>
      </w:pPr>
      <w:r w:rsidRPr="00C1054E">
        <w:rPr>
          <w:rFonts w:ascii="Arial" w:eastAsia="Arial" w:hAnsi="Arial" w:cs="Arial"/>
          <w:i/>
          <w:color w:val="000000" w:themeColor="text1"/>
          <w:sz w:val="24"/>
          <w:szCs w:val="24"/>
        </w:rPr>
        <w:t> </w:t>
      </w:r>
    </w:p>
    <w:p w14:paraId="7C10D785" w14:textId="77777777" w:rsidR="00566E34" w:rsidRPr="00C1054E" w:rsidRDefault="00566E34" w:rsidP="00566E34">
      <w:pPr>
        <w:shd w:val="clear" w:color="auto" w:fill="FFFFFF"/>
        <w:spacing w:after="0" w:line="240" w:lineRule="auto"/>
        <w:ind w:left="708"/>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“[E]l derecho a la seguridad social, en la medida en que es de importancia fundamental para garantizar a todas las personas su dignidad humana es un verdadero derecho fundamental cuyo desarrollo, si bien ha sido confiado a entidades específicas que participan en el sistema general de seguridad social fundado por la Ley 100 de 1993, encuentra una configuración normativa preestablecida en el texto constitucional (artículo 49 superior) y en los tratados internacionales que hacen parte del bloque de constitucionalidad; cuerpos normativos que dan cuenta de una categoría iusfundamental íntimamente arraigada al principio de dignidad humana, razón por la cual su especificación en el nivel legislativo se encuentra sometida a contenidos sustanciales preestablecidos”( Sentencia C-1141 de 2008 )</w:t>
      </w:r>
    </w:p>
    <w:p w14:paraId="2D2908C5" w14:textId="77777777" w:rsidR="00566E34" w:rsidRPr="00C1054E" w:rsidRDefault="00566E34" w:rsidP="00566E34">
      <w:pPr>
        <w:jc w:val="both"/>
        <w:rPr>
          <w:rFonts w:ascii="Arial" w:eastAsia="Arial" w:hAnsi="Arial" w:cs="Arial"/>
          <w:color w:val="000000" w:themeColor="text1"/>
          <w:sz w:val="24"/>
          <w:szCs w:val="24"/>
        </w:rPr>
      </w:pPr>
    </w:p>
    <w:p w14:paraId="1A42465C" w14:textId="77777777" w:rsidR="00566E34" w:rsidRPr="00C1054E" w:rsidRDefault="00566E34" w:rsidP="00566E34">
      <w:pPr>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A su vez la Corporación de manera diáfana explica la forma como se garantiza este derecho. </w:t>
      </w:r>
    </w:p>
    <w:p w14:paraId="7B91F443" w14:textId="77777777" w:rsidR="00566E34" w:rsidRPr="00C1054E" w:rsidRDefault="00566E34" w:rsidP="00566E34">
      <w:pPr>
        <w:rPr>
          <w:rFonts w:ascii="Arial" w:eastAsia="Arial" w:hAnsi="Arial" w:cs="Arial"/>
          <w:color w:val="000000" w:themeColor="text1"/>
          <w:sz w:val="24"/>
          <w:szCs w:val="24"/>
        </w:rPr>
      </w:pPr>
    </w:p>
    <w:p w14:paraId="29549B10" w14:textId="77777777" w:rsidR="00566E34" w:rsidRPr="00C1054E" w:rsidRDefault="00566E34" w:rsidP="00566E34">
      <w:pPr>
        <w:shd w:val="clear" w:color="auto" w:fill="FFFFFF"/>
        <w:spacing w:after="0" w:line="240" w:lineRule="auto"/>
        <w:ind w:left="708"/>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La Ley 100 de 1993, por la cual se creó el sistema de seguridad social integral, estipuló que el SGSSS cubre a todos los residentes en el país y, por lo tanto, todas las personas tienen la posibilidad de participar en él; unos en su condición de (i) afiliados al régimen contributivo, otros como (ii) afiliados al régimen subsidiado. Los primeros son las personas vinculadas a través de contrato de trabajo, los servidores públicos, los pensionados y jubilados y los trabajadores independientes con capacidad de pago. Los segundos son las personas sin capacidad de pago para cotizar al sistema; se trata de la población más pobre y vulnerable del país a la que se le subsidia su participación en el SGSSS.</w:t>
      </w:r>
    </w:p>
    <w:p w14:paraId="2DCD7DDE" w14:textId="77777777" w:rsidR="00566E34" w:rsidRPr="00C1054E" w:rsidRDefault="00566E34" w:rsidP="00566E34">
      <w:pPr>
        <w:shd w:val="clear" w:color="auto" w:fill="FFFFFF"/>
        <w:spacing w:after="0" w:line="240" w:lineRule="auto"/>
        <w:ind w:left="708"/>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w:t>
      </w:r>
    </w:p>
    <w:p w14:paraId="3F628B4F" w14:textId="77777777" w:rsidR="00566E34" w:rsidRPr="00C1054E" w:rsidRDefault="00566E34" w:rsidP="00120C15">
      <w:pPr>
        <w:ind w:left="708"/>
        <w:jc w:val="both"/>
        <w:rPr>
          <w:rFonts w:ascii="Arial" w:eastAsia="Arial" w:hAnsi="Arial" w:cs="Arial"/>
          <w:color w:val="000000" w:themeColor="text1"/>
          <w:sz w:val="24"/>
          <w:szCs w:val="24"/>
          <w:highlight w:val="white"/>
        </w:rPr>
      </w:pPr>
      <w:r w:rsidRPr="00C1054E">
        <w:rPr>
          <w:rFonts w:ascii="Arial" w:eastAsia="Arial" w:hAnsi="Arial" w:cs="Arial"/>
          <w:color w:val="000000" w:themeColor="text1"/>
          <w:sz w:val="24"/>
          <w:szCs w:val="24"/>
        </w:rPr>
        <w:t>Además de estos dos tipos de participantes del SGSSS, el Legislador también ha regulado la atención en salud de un tercer grupo: la población pobre no asegurada que no se encuentra afiliada ni al régimen contributivo ni al subsidiado, y que carece de medios de pago para sufragar los servicios de salud, quienes</w:t>
      </w:r>
      <w:r w:rsidRPr="00C1054E">
        <w:rPr>
          <w:rFonts w:ascii="Arial" w:eastAsia="Arial" w:hAnsi="Arial" w:cs="Arial"/>
          <w:color w:val="000000" w:themeColor="text1"/>
          <w:sz w:val="24"/>
          <w:szCs w:val="24"/>
          <w:highlight w:val="white"/>
        </w:rPr>
        <w:t xml:space="preserve"> mientras logran ser beneficiarios del régimen subsidiado tendrán derecho a los servicios de atención de salud que prestan las instituciones públicas y aquellas privadas que tengan contrato con el Estado. (Sentencia T 192 de 2019). </w:t>
      </w:r>
    </w:p>
    <w:p w14:paraId="4287317D" w14:textId="77777777" w:rsidR="00566E34" w:rsidRPr="00C1054E" w:rsidRDefault="00566E34" w:rsidP="00120C15">
      <w:pPr>
        <w:jc w:val="both"/>
        <w:rPr>
          <w:rFonts w:ascii="Arial" w:eastAsia="Arial" w:hAnsi="Arial" w:cs="Arial"/>
          <w:color w:val="000000" w:themeColor="text1"/>
          <w:sz w:val="24"/>
          <w:szCs w:val="24"/>
          <w:highlight w:val="white"/>
        </w:rPr>
      </w:pPr>
      <w:r w:rsidRPr="00C1054E">
        <w:rPr>
          <w:rFonts w:ascii="Arial" w:eastAsia="Arial" w:hAnsi="Arial" w:cs="Arial"/>
          <w:color w:val="000000" w:themeColor="text1"/>
          <w:sz w:val="24"/>
          <w:szCs w:val="24"/>
          <w:highlight w:val="white"/>
        </w:rPr>
        <w:t xml:space="preserve">De otra parte, la Organización de las Naciones Unidas sobre el derecho a la seguridad social ha manifestado: </w:t>
      </w:r>
    </w:p>
    <w:p w14:paraId="57824F71" w14:textId="77777777" w:rsidR="00566E34" w:rsidRPr="00C1054E" w:rsidRDefault="00566E34" w:rsidP="00120C15">
      <w:pPr>
        <w:ind w:left="708"/>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El derecho a la seguridad social incluye el derecho a obtener y mantener prestaciones sociales, sin discriminación, con el fin de obtener protección, en particular contra:</w:t>
      </w:r>
    </w:p>
    <w:p w14:paraId="3D2E8362" w14:textId="77777777" w:rsidR="00566E34" w:rsidRPr="00C1054E" w:rsidRDefault="00566E34" w:rsidP="00120C15">
      <w:pPr>
        <w:numPr>
          <w:ilvl w:val="0"/>
          <w:numId w:val="37"/>
        </w:numPr>
        <w:pBdr>
          <w:top w:val="nil"/>
          <w:left w:val="nil"/>
          <w:bottom w:val="nil"/>
          <w:right w:val="nil"/>
          <w:between w:val="nil"/>
        </w:pBdr>
        <w:spacing w:after="0"/>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la falta de ingresos procedentes del trabajo debido a enfermedad, invalidez, maternidad, accidente laboral, vejez o muerte de un familiar;</w:t>
      </w:r>
    </w:p>
    <w:p w14:paraId="3C731E91" w14:textId="77777777" w:rsidR="00566E34" w:rsidRPr="00C1054E" w:rsidRDefault="00566E34" w:rsidP="00120C15">
      <w:pPr>
        <w:numPr>
          <w:ilvl w:val="0"/>
          <w:numId w:val="37"/>
        </w:numPr>
        <w:pBdr>
          <w:top w:val="nil"/>
          <w:left w:val="nil"/>
          <w:bottom w:val="nil"/>
          <w:right w:val="nil"/>
          <w:between w:val="nil"/>
        </w:pBdr>
        <w:spacing w:after="0"/>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gastos excesivos de atención de salud; y</w:t>
      </w:r>
    </w:p>
    <w:p w14:paraId="276883F5" w14:textId="77777777" w:rsidR="00566E34" w:rsidRPr="00C1054E" w:rsidRDefault="00566E34" w:rsidP="00120C15">
      <w:pPr>
        <w:numPr>
          <w:ilvl w:val="0"/>
          <w:numId w:val="37"/>
        </w:numPr>
        <w:pBdr>
          <w:top w:val="nil"/>
          <w:left w:val="nil"/>
          <w:bottom w:val="nil"/>
          <w:right w:val="nil"/>
          <w:between w:val="nil"/>
        </w:pBdr>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un apoyo familiar insuficiente, en particular para los hijos y los familiares a cargo.</w:t>
      </w:r>
    </w:p>
    <w:p w14:paraId="6F9B1B54" w14:textId="77777777" w:rsidR="00566E34" w:rsidRPr="00C1054E" w:rsidRDefault="00566E34" w:rsidP="00120C15">
      <w:pPr>
        <w:ind w:left="708"/>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La seguridad social desempeña un papel importante para reducir y mitigar la pobreza, prevenir la exclusión social y promover la inclusión social. (ONU. S,F)</w:t>
      </w:r>
    </w:p>
    <w:p w14:paraId="2C7450BD" w14:textId="77777777" w:rsidR="00566E34" w:rsidRPr="00C1054E" w:rsidRDefault="00566E34" w:rsidP="00566E34">
      <w:pPr>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El Comité de Derechos Económicos, Sociales y Culturales de las Naciones Unidas en la observación general No 19 sobre el derecho a la seguridad social ha manifestado que los Estados Partes deben tomar medidas efectivas las cuales no podrán ser restrictivas y garantizar un disfrute mínimo del derecho, en todo caso, deben garantizar a toda persona un disfrute mínimo de este derecho humano. Estas medidas pueden consistir en: </w:t>
      </w:r>
    </w:p>
    <w:p w14:paraId="054A39CE" w14:textId="77777777" w:rsidR="00566E34" w:rsidRPr="00C1054E" w:rsidRDefault="00566E34" w:rsidP="00566E34">
      <w:pPr>
        <w:shd w:val="clear" w:color="auto" w:fill="FFFFFF"/>
        <w:spacing w:after="0" w:line="240" w:lineRule="auto"/>
        <w:jc w:val="both"/>
        <w:rPr>
          <w:rFonts w:ascii="Arial" w:eastAsia="Arial" w:hAnsi="Arial" w:cs="Arial"/>
          <w:color w:val="000000" w:themeColor="text1"/>
          <w:sz w:val="24"/>
          <w:szCs w:val="24"/>
        </w:rPr>
      </w:pPr>
    </w:p>
    <w:p w14:paraId="0B9850D5" w14:textId="77777777" w:rsidR="00566E34" w:rsidRPr="00C1054E" w:rsidRDefault="00566E34" w:rsidP="00566E34">
      <w:pPr>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Planes contributivos o planes basados en un seguro, como el seguro social expresamente mencionado en el artículo 9. Estos planes implican generalmente el pago de cotizaciones obligatorias de los beneficiarios, los empleadores y a veces el </w:t>
      </w:r>
      <w:r w:rsidRPr="00C1054E">
        <w:rPr>
          <w:rFonts w:ascii="Arial" w:eastAsia="Arial" w:hAnsi="Arial" w:cs="Arial"/>
          <w:color w:val="000000" w:themeColor="text1"/>
          <w:sz w:val="24"/>
          <w:szCs w:val="24"/>
        </w:rPr>
        <w:lastRenderedPageBreak/>
        <w:t xml:space="preserve">Estado, juntamente con el pago de las prestaciones y los gastos administrativos con cargo a un fondo común. </w:t>
      </w:r>
    </w:p>
    <w:p w14:paraId="6D61A94F" w14:textId="77777777" w:rsidR="00566E34" w:rsidRPr="00C1054E" w:rsidRDefault="00566E34" w:rsidP="00566E34">
      <w:pPr>
        <w:pBdr>
          <w:top w:val="nil"/>
          <w:left w:val="nil"/>
          <w:bottom w:val="nil"/>
          <w:right w:val="nil"/>
          <w:between w:val="nil"/>
        </w:pBdr>
        <w:shd w:val="clear" w:color="auto" w:fill="FFFFFF"/>
        <w:spacing w:after="0" w:line="240" w:lineRule="auto"/>
        <w:ind w:left="720"/>
        <w:jc w:val="both"/>
        <w:rPr>
          <w:rFonts w:ascii="Arial" w:eastAsia="Arial" w:hAnsi="Arial" w:cs="Arial"/>
          <w:color w:val="000000" w:themeColor="text1"/>
          <w:sz w:val="24"/>
          <w:szCs w:val="24"/>
        </w:rPr>
      </w:pPr>
    </w:p>
    <w:p w14:paraId="56A922CD" w14:textId="77777777" w:rsidR="00566E34" w:rsidRPr="00C1054E" w:rsidRDefault="00566E34" w:rsidP="00566E34">
      <w:pPr>
        <w:numPr>
          <w:ilvl w:val="0"/>
          <w:numId w:val="38"/>
        </w:numPr>
        <w:pBdr>
          <w:top w:val="nil"/>
          <w:left w:val="nil"/>
          <w:bottom w:val="nil"/>
          <w:right w:val="nil"/>
          <w:between w:val="nil"/>
        </w:pBdr>
        <w:shd w:val="clear" w:color="auto" w:fill="FFFFFF"/>
        <w:spacing w:after="0" w:line="240"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Los planes no contributivos, como los planes universales (que en principio ofrecen la prestación correspondiente a toda persona expuesta a un riesgo o situación imprevista particular) o los planes de asistencia social destinados a determinados beneficiarios (en que reciben las prestaciones las personas necesitadas). En casi todos los Estados habrá necesidad de planes no contributivos, ya que es poco probable que pueda proporcionarse la protección necesaria a todas las personas mediante un sistema basado en un seguro. </w:t>
      </w:r>
    </w:p>
    <w:p w14:paraId="31A8E9EA" w14:textId="77777777" w:rsidR="00566E34" w:rsidRPr="00C1054E" w:rsidRDefault="00566E34" w:rsidP="00566E34">
      <w:pPr>
        <w:pBdr>
          <w:top w:val="nil"/>
          <w:left w:val="nil"/>
          <w:bottom w:val="nil"/>
          <w:right w:val="nil"/>
          <w:between w:val="nil"/>
        </w:pBdr>
        <w:spacing w:after="0"/>
        <w:ind w:left="720"/>
        <w:rPr>
          <w:rFonts w:ascii="Arial" w:eastAsia="Arial" w:hAnsi="Arial" w:cs="Arial"/>
          <w:color w:val="000000" w:themeColor="text1"/>
          <w:sz w:val="24"/>
          <w:szCs w:val="24"/>
        </w:rPr>
      </w:pPr>
    </w:p>
    <w:p w14:paraId="38228EE0" w14:textId="18181E35" w:rsidR="00566E34" w:rsidRPr="00C1054E" w:rsidRDefault="00566E34" w:rsidP="00566E34">
      <w:pPr>
        <w:numPr>
          <w:ilvl w:val="0"/>
          <w:numId w:val="36"/>
        </w:numPr>
        <w:pBdr>
          <w:top w:val="nil"/>
          <w:left w:val="nil"/>
          <w:bottom w:val="nil"/>
          <w:right w:val="nil"/>
          <w:between w:val="nil"/>
        </w:pBdr>
        <w:shd w:val="clear" w:color="auto" w:fill="FFFFFF"/>
        <w:spacing w:after="0" w:line="240"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También son aceptables otras formas de seguridad social, en particular: a) los planes privados y b) las medidas de autoayuda u otras medidas, como los planes comunitarios o los planes de asistencia mutua. Cualquiera que sea el sistema elegido, debe respetar los elementos esenciales del derecho a la seguridad social y, en ese sentido, deben ser considerados como planes que contribuyen a la seguridad social y por consiguiente deberán estar amparados por los Estados, de conformidad con la presente observación general. (Consejo Económico y Social, </w:t>
      </w:r>
      <w:r w:rsidR="00524142" w:rsidRPr="00C1054E">
        <w:rPr>
          <w:rFonts w:ascii="Arial" w:eastAsia="Arial" w:hAnsi="Arial" w:cs="Arial"/>
          <w:color w:val="000000" w:themeColor="text1"/>
          <w:sz w:val="24"/>
          <w:szCs w:val="24"/>
        </w:rPr>
        <w:t>2007, p.</w:t>
      </w:r>
      <w:r w:rsidRPr="00C1054E">
        <w:rPr>
          <w:rFonts w:ascii="Arial" w:eastAsia="Arial" w:hAnsi="Arial" w:cs="Arial"/>
          <w:color w:val="000000" w:themeColor="text1"/>
          <w:sz w:val="24"/>
          <w:szCs w:val="24"/>
        </w:rPr>
        <w:t>2)</w:t>
      </w:r>
    </w:p>
    <w:p w14:paraId="20CFEB30" w14:textId="77777777" w:rsidR="00566E34" w:rsidRPr="00C1054E" w:rsidRDefault="00566E34" w:rsidP="00566E34">
      <w:pPr>
        <w:shd w:val="clear" w:color="auto" w:fill="FFFFFF"/>
        <w:spacing w:after="0" w:line="240" w:lineRule="auto"/>
        <w:ind w:left="1068"/>
        <w:jc w:val="both"/>
        <w:rPr>
          <w:rFonts w:ascii="Arial" w:hAnsi="Arial" w:cs="Arial"/>
          <w:color w:val="000000" w:themeColor="text1"/>
          <w:sz w:val="24"/>
          <w:szCs w:val="24"/>
        </w:rPr>
      </w:pPr>
    </w:p>
    <w:p w14:paraId="04E684EE" w14:textId="77777777" w:rsidR="00081BD3" w:rsidRPr="00C1054E" w:rsidRDefault="00566E34" w:rsidP="00081BD3">
      <w:pPr>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Lo anterior permite concluir que el derecho a la seguridad social es un derecho fundamental, irrenunciable que presenta una relación directa con la dignidad humana, para lo cual el Estado debe establecer garantías materiales y legales que permita </w:t>
      </w:r>
      <w:r w:rsidR="00081BD3" w:rsidRPr="00C1054E">
        <w:rPr>
          <w:rFonts w:ascii="Arial" w:eastAsia="Arial" w:hAnsi="Arial" w:cs="Arial"/>
          <w:color w:val="000000" w:themeColor="text1"/>
          <w:sz w:val="24"/>
          <w:szCs w:val="24"/>
        </w:rPr>
        <w:t xml:space="preserve">conocer con certeza las condiciones bajo las cuales las personas deben realizar sus aportes. </w:t>
      </w:r>
    </w:p>
    <w:p w14:paraId="143F8F7E" w14:textId="0A244E09" w:rsidR="00081BD3" w:rsidRPr="00C1054E" w:rsidRDefault="00081BD3" w:rsidP="00081BD3">
      <w:pPr>
        <w:jc w:val="both"/>
        <w:rPr>
          <w:rFonts w:ascii="Arial" w:eastAsia="Arial" w:hAnsi="Arial" w:cs="Arial"/>
          <w:color w:val="000000" w:themeColor="text1"/>
          <w:sz w:val="24"/>
          <w:szCs w:val="24"/>
        </w:rPr>
      </w:pPr>
    </w:p>
    <w:p w14:paraId="2F1069B4" w14:textId="41AEFE91" w:rsidR="00081BD3" w:rsidRPr="00C1054E" w:rsidRDefault="00081BD3" w:rsidP="00034741">
      <w:pPr>
        <w:numPr>
          <w:ilvl w:val="0"/>
          <w:numId w:val="29"/>
        </w:numPr>
        <w:pBdr>
          <w:top w:val="nil"/>
          <w:left w:val="nil"/>
          <w:bottom w:val="nil"/>
          <w:right w:val="nil"/>
          <w:between w:val="nil"/>
        </w:pBdr>
        <w:spacing w:after="0" w:line="240" w:lineRule="auto"/>
        <w:jc w:val="both"/>
        <w:rPr>
          <w:rFonts w:ascii="Arial" w:hAnsi="Arial" w:cs="Arial"/>
          <w:b/>
          <w:color w:val="000000" w:themeColor="text1"/>
          <w:sz w:val="24"/>
          <w:szCs w:val="24"/>
        </w:rPr>
      </w:pPr>
      <w:r w:rsidRPr="00C1054E">
        <w:rPr>
          <w:rFonts w:ascii="Arial" w:hAnsi="Arial" w:cs="Arial"/>
          <w:b/>
          <w:color w:val="000000" w:themeColor="text1"/>
          <w:sz w:val="24"/>
          <w:szCs w:val="24"/>
        </w:rPr>
        <w:t>CONCEPTOS</w:t>
      </w:r>
    </w:p>
    <w:p w14:paraId="7168DE56" w14:textId="5F267C08" w:rsidR="00081BD3" w:rsidRPr="00C1054E" w:rsidRDefault="00081BD3" w:rsidP="00081BD3">
      <w:pPr>
        <w:pBdr>
          <w:top w:val="nil"/>
          <w:left w:val="nil"/>
          <w:bottom w:val="nil"/>
          <w:right w:val="nil"/>
          <w:between w:val="nil"/>
        </w:pBdr>
        <w:spacing w:after="0" w:line="240" w:lineRule="auto"/>
        <w:jc w:val="both"/>
        <w:rPr>
          <w:rFonts w:ascii="Arial" w:hAnsi="Arial" w:cs="Arial"/>
          <w:b/>
          <w:color w:val="000000" w:themeColor="text1"/>
          <w:sz w:val="24"/>
          <w:szCs w:val="24"/>
        </w:rPr>
      </w:pPr>
    </w:p>
    <w:p w14:paraId="6271233C" w14:textId="75C49F69" w:rsidR="00081BD3" w:rsidRPr="00C1054E" w:rsidRDefault="00081BD3" w:rsidP="00081BD3">
      <w:pPr>
        <w:pBdr>
          <w:top w:val="nil"/>
          <w:left w:val="nil"/>
          <w:bottom w:val="nil"/>
          <w:right w:val="nil"/>
          <w:between w:val="nil"/>
        </w:pBdr>
        <w:spacing w:after="0" w:line="240" w:lineRule="auto"/>
        <w:jc w:val="both"/>
        <w:rPr>
          <w:rFonts w:ascii="Arial" w:hAnsi="Arial" w:cs="Arial"/>
          <w:color w:val="000000" w:themeColor="text1"/>
          <w:sz w:val="24"/>
          <w:szCs w:val="24"/>
        </w:rPr>
      </w:pPr>
      <w:r w:rsidRPr="00C1054E">
        <w:rPr>
          <w:rFonts w:ascii="Arial" w:hAnsi="Arial" w:cs="Arial"/>
          <w:color w:val="000000" w:themeColor="text1"/>
          <w:sz w:val="24"/>
          <w:szCs w:val="24"/>
        </w:rPr>
        <w:t xml:space="preserve">Frente a una solicitud elevada al gobierno nacional, se recibieron los siguientes conceptos: </w:t>
      </w:r>
    </w:p>
    <w:p w14:paraId="1324802D" w14:textId="7A55E9BA" w:rsidR="00081BD3" w:rsidRPr="00C1054E" w:rsidRDefault="00081BD3" w:rsidP="00081BD3">
      <w:pPr>
        <w:pBdr>
          <w:top w:val="nil"/>
          <w:left w:val="nil"/>
          <w:bottom w:val="nil"/>
          <w:right w:val="nil"/>
          <w:between w:val="nil"/>
        </w:pBdr>
        <w:spacing w:after="0" w:line="240" w:lineRule="auto"/>
        <w:jc w:val="both"/>
        <w:rPr>
          <w:rFonts w:ascii="Arial" w:hAnsi="Arial" w:cs="Arial"/>
          <w:color w:val="000000" w:themeColor="text1"/>
          <w:sz w:val="24"/>
          <w:szCs w:val="24"/>
        </w:rPr>
      </w:pPr>
    </w:p>
    <w:p w14:paraId="6F68D090" w14:textId="2D746551" w:rsidR="00081BD3" w:rsidRPr="00C1054E" w:rsidRDefault="00081BD3" w:rsidP="00081BD3">
      <w:pPr>
        <w:pBdr>
          <w:top w:val="nil"/>
          <w:left w:val="nil"/>
          <w:bottom w:val="nil"/>
          <w:right w:val="nil"/>
          <w:between w:val="nil"/>
        </w:pBdr>
        <w:spacing w:after="0" w:line="240" w:lineRule="auto"/>
        <w:jc w:val="both"/>
        <w:rPr>
          <w:rFonts w:ascii="Arial" w:hAnsi="Arial" w:cs="Arial"/>
          <w:color w:val="000000" w:themeColor="text1"/>
          <w:sz w:val="24"/>
          <w:szCs w:val="24"/>
        </w:rPr>
      </w:pPr>
      <w:r w:rsidRPr="00C1054E">
        <w:rPr>
          <w:rFonts w:ascii="Arial" w:hAnsi="Arial" w:cs="Arial"/>
          <w:b/>
          <w:color w:val="000000" w:themeColor="text1"/>
          <w:sz w:val="24"/>
          <w:szCs w:val="24"/>
        </w:rPr>
        <w:t>3.1.</w:t>
      </w:r>
      <w:r w:rsidRPr="00C1054E">
        <w:rPr>
          <w:rFonts w:ascii="Arial" w:hAnsi="Arial" w:cs="Arial"/>
          <w:color w:val="000000" w:themeColor="text1"/>
          <w:sz w:val="24"/>
          <w:szCs w:val="24"/>
        </w:rPr>
        <w:t xml:space="preserve"> </w:t>
      </w:r>
      <w:r w:rsidRPr="00C1054E">
        <w:rPr>
          <w:rFonts w:ascii="Arial" w:hAnsi="Arial" w:cs="Arial"/>
          <w:b/>
          <w:color w:val="000000" w:themeColor="text1"/>
          <w:sz w:val="24"/>
          <w:szCs w:val="24"/>
        </w:rPr>
        <w:t>Ministerio del Trabajo:</w:t>
      </w:r>
    </w:p>
    <w:p w14:paraId="655FA951" w14:textId="48BB6194" w:rsidR="00081BD3" w:rsidRPr="00C1054E" w:rsidRDefault="00081BD3" w:rsidP="00081BD3">
      <w:pPr>
        <w:pBdr>
          <w:top w:val="nil"/>
          <w:left w:val="nil"/>
          <w:bottom w:val="nil"/>
          <w:right w:val="nil"/>
          <w:between w:val="nil"/>
        </w:pBdr>
        <w:spacing w:after="0" w:line="240" w:lineRule="auto"/>
        <w:jc w:val="both"/>
        <w:rPr>
          <w:rFonts w:ascii="Arial" w:hAnsi="Arial" w:cs="Arial"/>
          <w:color w:val="000000" w:themeColor="text1"/>
          <w:sz w:val="24"/>
          <w:szCs w:val="24"/>
        </w:rPr>
      </w:pPr>
    </w:p>
    <w:p w14:paraId="4842CAB8" w14:textId="21A50F23" w:rsidR="006224E6" w:rsidRPr="00C1054E" w:rsidRDefault="00842E71" w:rsidP="00081BD3">
      <w:pPr>
        <w:pBdr>
          <w:top w:val="nil"/>
          <w:left w:val="nil"/>
          <w:bottom w:val="nil"/>
          <w:right w:val="nil"/>
          <w:between w:val="nil"/>
        </w:pBdr>
        <w:spacing w:after="0" w:line="240" w:lineRule="auto"/>
        <w:jc w:val="both"/>
        <w:rPr>
          <w:rFonts w:ascii="Arial" w:hAnsi="Arial" w:cs="Arial"/>
          <w:color w:val="000000" w:themeColor="text1"/>
          <w:sz w:val="24"/>
          <w:szCs w:val="24"/>
        </w:rPr>
      </w:pPr>
      <w:r w:rsidRPr="00C1054E">
        <w:rPr>
          <w:rFonts w:ascii="Arial" w:hAnsi="Arial" w:cs="Arial"/>
          <w:color w:val="000000" w:themeColor="text1"/>
          <w:sz w:val="24"/>
          <w:szCs w:val="24"/>
        </w:rPr>
        <w:t xml:space="preserve">El Ministerio </w:t>
      </w:r>
      <w:r w:rsidR="006224E6" w:rsidRPr="00C1054E">
        <w:rPr>
          <w:rFonts w:ascii="Arial" w:hAnsi="Arial" w:cs="Arial"/>
          <w:color w:val="000000" w:themeColor="text1"/>
          <w:sz w:val="24"/>
          <w:szCs w:val="24"/>
        </w:rPr>
        <w:t xml:space="preserve">del Trabajo en oficio con radicado 08SE2022200000000042190 del 6 de septiembre de 2022, manifestó que </w:t>
      </w:r>
      <w:r w:rsidRPr="00C1054E">
        <w:rPr>
          <w:rFonts w:ascii="Arial" w:hAnsi="Arial" w:cs="Arial"/>
          <w:color w:val="000000" w:themeColor="text1"/>
          <w:sz w:val="24"/>
          <w:szCs w:val="24"/>
        </w:rPr>
        <w:t xml:space="preserve">considera </w:t>
      </w:r>
      <w:r w:rsidR="006224E6" w:rsidRPr="00C1054E">
        <w:rPr>
          <w:rFonts w:ascii="Arial" w:hAnsi="Arial" w:cs="Arial"/>
          <w:b/>
          <w:color w:val="000000" w:themeColor="text1"/>
          <w:sz w:val="24"/>
          <w:szCs w:val="24"/>
          <w:u w:val="single"/>
        </w:rPr>
        <w:t xml:space="preserve">CONVENIENTE </w:t>
      </w:r>
      <w:r w:rsidR="006224E6" w:rsidRPr="00C1054E">
        <w:rPr>
          <w:rFonts w:ascii="Arial" w:hAnsi="Arial" w:cs="Arial"/>
          <w:color w:val="000000" w:themeColor="text1"/>
          <w:sz w:val="24"/>
          <w:szCs w:val="24"/>
        </w:rPr>
        <w:t>esta</w:t>
      </w:r>
      <w:r w:rsidRPr="00C1054E">
        <w:rPr>
          <w:rFonts w:ascii="Arial" w:hAnsi="Arial" w:cs="Arial"/>
          <w:color w:val="000000" w:themeColor="text1"/>
          <w:sz w:val="24"/>
          <w:szCs w:val="24"/>
        </w:rPr>
        <w:t xml:space="preserve"> iniciativa para </w:t>
      </w:r>
      <w:r w:rsidR="006224E6" w:rsidRPr="00C1054E">
        <w:rPr>
          <w:rFonts w:ascii="Arial" w:hAnsi="Arial" w:cs="Arial"/>
          <w:color w:val="000000" w:themeColor="text1"/>
          <w:sz w:val="24"/>
          <w:szCs w:val="24"/>
        </w:rPr>
        <w:t>“</w:t>
      </w:r>
      <w:r w:rsidRPr="00C1054E">
        <w:rPr>
          <w:rFonts w:ascii="Arial" w:hAnsi="Arial" w:cs="Arial"/>
          <w:color w:val="000000" w:themeColor="text1"/>
          <w:sz w:val="24"/>
          <w:szCs w:val="24"/>
        </w:rPr>
        <w:t>establecer el marco normativo de los</w:t>
      </w:r>
      <w:r w:rsidR="006224E6" w:rsidRPr="00C1054E">
        <w:rPr>
          <w:rFonts w:ascii="Arial" w:hAnsi="Arial" w:cs="Arial"/>
          <w:color w:val="000000" w:themeColor="text1"/>
          <w:sz w:val="24"/>
          <w:szCs w:val="24"/>
        </w:rPr>
        <w:t xml:space="preserve"> trabajadores independientes ante el vacío legal que hoy existe”. </w:t>
      </w:r>
    </w:p>
    <w:p w14:paraId="3831FB1D" w14:textId="77777777" w:rsidR="006224E6" w:rsidRPr="00C1054E" w:rsidRDefault="006224E6" w:rsidP="00081BD3">
      <w:pPr>
        <w:pBdr>
          <w:top w:val="nil"/>
          <w:left w:val="nil"/>
          <w:bottom w:val="nil"/>
          <w:right w:val="nil"/>
          <w:between w:val="nil"/>
        </w:pBdr>
        <w:spacing w:after="0" w:line="240" w:lineRule="auto"/>
        <w:jc w:val="both"/>
        <w:rPr>
          <w:rFonts w:ascii="Arial" w:hAnsi="Arial" w:cs="Arial"/>
          <w:color w:val="000000" w:themeColor="text1"/>
          <w:sz w:val="24"/>
          <w:szCs w:val="24"/>
        </w:rPr>
      </w:pPr>
    </w:p>
    <w:p w14:paraId="3D1D623A" w14:textId="75F432C4" w:rsidR="00842E71" w:rsidRPr="00C1054E" w:rsidRDefault="006224E6" w:rsidP="00081BD3">
      <w:pPr>
        <w:pBdr>
          <w:top w:val="nil"/>
          <w:left w:val="nil"/>
          <w:bottom w:val="nil"/>
          <w:right w:val="nil"/>
          <w:between w:val="nil"/>
        </w:pBdr>
        <w:spacing w:after="0" w:line="240" w:lineRule="auto"/>
        <w:jc w:val="both"/>
        <w:rPr>
          <w:rFonts w:ascii="Arial" w:hAnsi="Arial" w:cs="Arial"/>
          <w:color w:val="000000" w:themeColor="text1"/>
          <w:sz w:val="24"/>
          <w:szCs w:val="24"/>
        </w:rPr>
      </w:pPr>
      <w:r w:rsidRPr="00C1054E">
        <w:rPr>
          <w:rFonts w:ascii="Arial" w:hAnsi="Arial" w:cs="Arial"/>
          <w:color w:val="000000" w:themeColor="text1"/>
          <w:sz w:val="24"/>
          <w:szCs w:val="24"/>
        </w:rPr>
        <w:t>S</w:t>
      </w:r>
      <w:r w:rsidR="00E86FE7" w:rsidRPr="00C1054E">
        <w:rPr>
          <w:rFonts w:ascii="Arial" w:hAnsi="Arial" w:cs="Arial"/>
          <w:color w:val="000000" w:themeColor="text1"/>
          <w:sz w:val="24"/>
          <w:szCs w:val="24"/>
        </w:rPr>
        <w:t xml:space="preserve">ugieren incluir definiciones detalladas en lo que se entiende por independiente con contrato de prestación de servicios personales e independiente con contrato distinto a prestación de servicios personales. Sugieren determinar el ingreso que compone, su base de cotización a los subsistemas de seguridad social y el procedimiento para cotizar cuando se reciben varios ingresos. </w:t>
      </w:r>
      <w:r w:rsidR="00842E71" w:rsidRPr="00C1054E">
        <w:rPr>
          <w:rFonts w:ascii="Arial" w:hAnsi="Arial" w:cs="Arial"/>
          <w:color w:val="000000" w:themeColor="text1"/>
          <w:sz w:val="24"/>
          <w:szCs w:val="24"/>
        </w:rPr>
        <w:t>Asimismo, solicitan desarrollar el contenido del artículo que se refiere a la retención de los aportes.</w:t>
      </w:r>
    </w:p>
    <w:p w14:paraId="71C23B1B" w14:textId="77777777" w:rsidR="00842E71" w:rsidRPr="00C1054E" w:rsidRDefault="00842E71" w:rsidP="00081BD3">
      <w:pPr>
        <w:pBdr>
          <w:top w:val="nil"/>
          <w:left w:val="nil"/>
          <w:bottom w:val="nil"/>
          <w:right w:val="nil"/>
          <w:between w:val="nil"/>
        </w:pBdr>
        <w:spacing w:after="0" w:line="240" w:lineRule="auto"/>
        <w:jc w:val="both"/>
        <w:rPr>
          <w:rFonts w:ascii="Arial" w:hAnsi="Arial" w:cs="Arial"/>
          <w:color w:val="000000" w:themeColor="text1"/>
          <w:sz w:val="24"/>
          <w:szCs w:val="24"/>
        </w:rPr>
      </w:pPr>
    </w:p>
    <w:p w14:paraId="579B5922" w14:textId="16F53A53" w:rsidR="00E86FE7" w:rsidRPr="00C1054E" w:rsidRDefault="006224E6" w:rsidP="00081BD3">
      <w:pPr>
        <w:pBdr>
          <w:top w:val="nil"/>
          <w:left w:val="nil"/>
          <w:bottom w:val="nil"/>
          <w:right w:val="nil"/>
          <w:between w:val="nil"/>
        </w:pBdr>
        <w:spacing w:after="0" w:line="240" w:lineRule="auto"/>
        <w:jc w:val="both"/>
        <w:rPr>
          <w:rFonts w:ascii="Arial" w:hAnsi="Arial" w:cs="Arial"/>
          <w:color w:val="000000" w:themeColor="text1"/>
          <w:sz w:val="24"/>
          <w:szCs w:val="24"/>
        </w:rPr>
      </w:pPr>
      <w:r w:rsidRPr="00C1054E">
        <w:rPr>
          <w:rFonts w:ascii="Arial" w:hAnsi="Arial" w:cs="Arial"/>
          <w:color w:val="000000" w:themeColor="text1"/>
          <w:sz w:val="24"/>
          <w:szCs w:val="24"/>
        </w:rPr>
        <w:t xml:space="preserve">Finalmente, consideran pertinente precisar que los aportes se deben girar al Sistema de Seguridad Social Integral a través de la Planilla Integral de Liquidación de Aportes (PILA) y que el competente de realizar la retención o el giro de los aportes debe reportar a través del PILA las novedades de inicio, suspensión y terminación del contrato. </w:t>
      </w:r>
    </w:p>
    <w:p w14:paraId="58CB4B0E" w14:textId="0A0B4E2D" w:rsidR="00DB7C55" w:rsidRPr="00C1054E" w:rsidRDefault="00DB7C55" w:rsidP="00081BD3">
      <w:pPr>
        <w:pBdr>
          <w:top w:val="nil"/>
          <w:left w:val="nil"/>
          <w:bottom w:val="nil"/>
          <w:right w:val="nil"/>
          <w:between w:val="nil"/>
        </w:pBdr>
        <w:spacing w:after="0" w:line="240" w:lineRule="auto"/>
        <w:jc w:val="both"/>
        <w:rPr>
          <w:rFonts w:ascii="Arial" w:hAnsi="Arial" w:cs="Arial"/>
          <w:b/>
          <w:color w:val="000000" w:themeColor="text1"/>
          <w:sz w:val="24"/>
          <w:szCs w:val="24"/>
        </w:rPr>
      </w:pPr>
    </w:p>
    <w:p w14:paraId="6EC2D203" w14:textId="29BA5455" w:rsidR="00DB7C55" w:rsidRPr="00C1054E" w:rsidRDefault="00DB7C55" w:rsidP="00081BD3">
      <w:pPr>
        <w:pBdr>
          <w:top w:val="nil"/>
          <w:left w:val="nil"/>
          <w:bottom w:val="nil"/>
          <w:right w:val="nil"/>
          <w:between w:val="nil"/>
        </w:pBdr>
        <w:spacing w:after="0" w:line="240" w:lineRule="auto"/>
        <w:jc w:val="both"/>
        <w:rPr>
          <w:rFonts w:ascii="Arial" w:hAnsi="Arial" w:cs="Arial"/>
          <w:b/>
          <w:color w:val="000000" w:themeColor="text1"/>
          <w:sz w:val="24"/>
          <w:szCs w:val="24"/>
        </w:rPr>
      </w:pPr>
      <w:r w:rsidRPr="00C1054E">
        <w:rPr>
          <w:rFonts w:ascii="Arial" w:hAnsi="Arial" w:cs="Arial"/>
          <w:b/>
          <w:color w:val="000000" w:themeColor="text1"/>
          <w:sz w:val="24"/>
          <w:szCs w:val="24"/>
        </w:rPr>
        <w:t xml:space="preserve">3.2. Ministerio de Hacienda: </w:t>
      </w:r>
    </w:p>
    <w:p w14:paraId="6C42085C" w14:textId="3C479633" w:rsidR="00DB7C55" w:rsidRPr="00C1054E" w:rsidRDefault="00DB7C55" w:rsidP="00081BD3">
      <w:pPr>
        <w:pBdr>
          <w:top w:val="nil"/>
          <w:left w:val="nil"/>
          <w:bottom w:val="nil"/>
          <w:right w:val="nil"/>
          <w:between w:val="nil"/>
        </w:pBdr>
        <w:spacing w:after="0" w:line="240" w:lineRule="auto"/>
        <w:jc w:val="both"/>
        <w:rPr>
          <w:rFonts w:ascii="Arial" w:hAnsi="Arial" w:cs="Arial"/>
          <w:color w:val="000000" w:themeColor="text1"/>
          <w:sz w:val="24"/>
          <w:szCs w:val="24"/>
        </w:rPr>
      </w:pPr>
    </w:p>
    <w:p w14:paraId="215A0835" w14:textId="4317EACF" w:rsidR="00DB7C55" w:rsidRPr="00C1054E" w:rsidRDefault="002336BF" w:rsidP="002336BF">
      <w:pPr>
        <w:pBdr>
          <w:top w:val="nil"/>
          <w:left w:val="nil"/>
          <w:bottom w:val="nil"/>
          <w:right w:val="nil"/>
          <w:between w:val="nil"/>
        </w:pBdr>
        <w:spacing w:after="0" w:line="240" w:lineRule="auto"/>
        <w:jc w:val="both"/>
        <w:rPr>
          <w:rFonts w:ascii="Arial" w:hAnsi="Arial" w:cs="Arial"/>
          <w:color w:val="000000" w:themeColor="text1"/>
          <w:sz w:val="24"/>
          <w:szCs w:val="24"/>
        </w:rPr>
      </w:pPr>
      <w:r w:rsidRPr="00C1054E">
        <w:rPr>
          <w:rFonts w:ascii="Arial" w:hAnsi="Arial" w:cs="Arial"/>
          <w:color w:val="000000" w:themeColor="text1"/>
          <w:sz w:val="24"/>
          <w:szCs w:val="24"/>
        </w:rPr>
        <w:t xml:space="preserve">Frente a una solicitud de imprimir mensaje de urgencia a esta iniciativa, mediante oficio con radicado 2-2022-038450 del 30 de agosto de 2022, esa cartera manifiesta que se encuentra en trámite el Proyecto de Ley 118 de 2022 Cámara – 131 de 2022 que contiene una medida similar a la de este proyecto. </w:t>
      </w:r>
    </w:p>
    <w:p w14:paraId="39BFDCA8" w14:textId="1080F798" w:rsidR="00081BD3" w:rsidRPr="00C1054E" w:rsidRDefault="00081BD3" w:rsidP="00081BD3">
      <w:pPr>
        <w:pBdr>
          <w:top w:val="nil"/>
          <w:left w:val="nil"/>
          <w:bottom w:val="nil"/>
          <w:right w:val="nil"/>
          <w:between w:val="nil"/>
        </w:pBdr>
        <w:spacing w:after="0" w:line="240" w:lineRule="auto"/>
        <w:jc w:val="both"/>
        <w:rPr>
          <w:rFonts w:ascii="Arial" w:hAnsi="Arial" w:cs="Arial"/>
          <w:color w:val="000000" w:themeColor="text1"/>
          <w:sz w:val="24"/>
          <w:szCs w:val="24"/>
        </w:rPr>
      </w:pPr>
    </w:p>
    <w:p w14:paraId="3EA73E89" w14:textId="77777777" w:rsidR="00081BD3" w:rsidRPr="00C1054E" w:rsidRDefault="00081BD3" w:rsidP="00081BD3">
      <w:pPr>
        <w:pBdr>
          <w:top w:val="nil"/>
          <w:left w:val="nil"/>
          <w:bottom w:val="nil"/>
          <w:right w:val="nil"/>
          <w:between w:val="nil"/>
        </w:pBdr>
        <w:spacing w:after="0" w:line="240" w:lineRule="auto"/>
        <w:jc w:val="both"/>
        <w:rPr>
          <w:rFonts w:ascii="Arial" w:hAnsi="Arial" w:cs="Arial"/>
          <w:color w:val="000000" w:themeColor="text1"/>
          <w:sz w:val="24"/>
          <w:szCs w:val="24"/>
        </w:rPr>
      </w:pPr>
    </w:p>
    <w:p w14:paraId="6DC2A21A" w14:textId="1A8658FC" w:rsidR="00034741" w:rsidRPr="00C1054E" w:rsidRDefault="00034741" w:rsidP="00034741">
      <w:pPr>
        <w:numPr>
          <w:ilvl w:val="0"/>
          <w:numId w:val="29"/>
        </w:numPr>
        <w:pBdr>
          <w:top w:val="nil"/>
          <w:left w:val="nil"/>
          <w:bottom w:val="nil"/>
          <w:right w:val="nil"/>
          <w:between w:val="nil"/>
        </w:pBdr>
        <w:spacing w:after="0" w:line="240" w:lineRule="auto"/>
        <w:jc w:val="both"/>
        <w:rPr>
          <w:rFonts w:ascii="Arial" w:hAnsi="Arial" w:cs="Arial"/>
          <w:b/>
          <w:color w:val="000000" w:themeColor="text1"/>
          <w:sz w:val="24"/>
          <w:szCs w:val="24"/>
        </w:rPr>
      </w:pPr>
      <w:r w:rsidRPr="00C1054E">
        <w:rPr>
          <w:rFonts w:ascii="Arial" w:hAnsi="Arial" w:cs="Arial"/>
          <w:b/>
          <w:color w:val="000000" w:themeColor="text1"/>
          <w:sz w:val="24"/>
          <w:szCs w:val="24"/>
        </w:rPr>
        <w:t xml:space="preserve">PLIEGO DE MODIFICACIONES </w:t>
      </w:r>
    </w:p>
    <w:p w14:paraId="5ED1A772" w14:textId="77777777" w:rsidR="00034741" w:rsidRPr="00C1054E" w:rsidRDefault="00034741" w:rsidP="00034741">
      <w:pPr>
        <w:rPr>
          <w:rFonts w:ascii="Arial" w:hAnsi="Arial" w:cs="Arial"/>
          <w:b/>
          <w:color w:val="000000" w:themeColor="text1"/>
          <w:sz w:val="24"/>
          <w:szCs w:val="24"/>
        </w:rPr>
      </w:pPr>
    </w:p>
    <w:p w14:paraId="3B03F987" w14:textId="16C232BC" w:rsidR="00034741" w:rsidRPr="00C1054E" w:rsidRDefault="00034741" w:rsidP="00767BE6">
      <w:pPr>
        <w:jc w:val="both"/>
        <w:rPr>
          <w:rFonts w:ascii="Arial" w:hAnsi="Arial" w:cs="Arial"/>
          <w:color w:val="000000" w:themeColor="text1"/>
          <w:sz w:val="24"/>
          <w:szCs w:val="24"/>
        </w:rPr>
      </w:pPr>
      <w:r w:rsidRPr="00C1054E">
        <w:rPr>
          <w:rFonts w:ascii="Arial" w:hAnsi="Arial" w:cs="Arial"/>
          <w:color w:val="000000" w:themeColor="text1"/>
          <w:sz w:val="24"/>
          <w:szCs w:val="24"/>
        </w:rPr>
        <w:t>El texto propuesto contiene las siguientes modificaciones</w:t>
      </w:r>
      <w:r w:rsidR="00DA70F0" w:rsidRPr="00C1054E">
        <w:rPr>
          <w:rFonts w:ascii="Arial" w:hAnsi="Arial" w:cs="Arial"/>
          <w:color w:val="000000" w:themeColor="text1"/>
          <w:sz w:val="24"/>
          <w:szCs w:val="24"/>
        </w:rPr>
        <w:t xml:space="preserve"> para </w:t>
      </w:r>
      <w:r w:rsidR="00913B2B" w:rsidRPr="00C1054E">
        <w:rPr>
          <w:rFonts w:ascii="Arial" w:hAnsi="Arial" w:cs="Arial"/>
          <w:color w:val="000000" w:themeColor="text1"/>
          <w:sz w:val="24"/>
          <w:szCs w:val="24"/>
        </w:rPr>
        <w:t xml:space="preserve">la </w:t>
      </w:r>
      <w:r w:rsidR="00DA70F0" w:rsidRPr="00C1054E">
        <w:rPr>
          <w:rFonts w:ascii="Arial" w:hAnsi="Arial" w:cs="Arial"/>
          <w:color w:val="000000" w:themeColor="text1"/>
          <w:sz w:val="24"/>
          <w:szCs w:val="24"/>
        </w:rPr>
        <w:t>ponencia de primer debate</w:t>
      </w:r>
      <w:r w:rsidRPr="00C1054E">
        <w:rPr>
          <w:rFonts w:ascii="Arial" w:hAnsi="Arial" w:cs="Arial"/>
          <w:color w:val="000000" w:themeColor="text1"/>
          <w:sz w:val="24"/>
          <w:szCs w:val="24"/>
        </w:rPr>
        <w:t xml:space="preserve">: </w:t>
      </w:r>
    </w:p>
    <w:tbl>
      <w:tblPr>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110"/>
        <w:gridCol w:w="2267"/>
      </w:tblGrid>
      <w:tr w:rsidR="00C1054E" w:rsidRPr="00C1054E" w14:paraId="3E15DEE8" w14:textId="79104E94" w:rsidTr="002D0874">
        <w:tc>
          <w:tcPr>
            <w:tcW w:w="3256" w:type="dxa"/>
          </w:tcPr>
          <w:p w14:paraId="2288785A" w14:textId="0D2F18D7" w:rsidR="002D0874" w:rsidRPr="00C1054E" w:rsidRDefault="002D0874" w:rsidP="007E25DF">
            <w:pPr>
              <w:jc w:val="center"/>
              <w:rPr>
                <w:rFonts w:ascii="Arial" w:hAnsi="Arial" w:cs="Arial"/>
                <w:b/>
                <w:color w:val="000000" w:themeColor="text1"/>
                <w:sz w:val="24"/>
                <w:szCs w:val="24"/>
              </w:rPr>
            </w:pPr>
            <w:r w:rsidRPr="00C1054E">
              <w:rPr>
                <w:rFonts w:ascii="Arial" w:hAnsi="Arial" w:cs="Arial"/>
                <w:b/>
                <w:color w:val="000000" w:themeColor="text1"/>
                <w:sz w:val="24"/>
                <w:szCs w:val="24"/>
              </w:rPr>
              <w:t xml:space="preserve">TEXTO RADICADO </w:t>
            </w:r>
          </w:p>
        </w:tc>
        <w:tc>
          <w:tcPr>
            <w:tcW w:w="4110" w:type="dxa"/>
          </w:tcPr>
          <w:p w14:paraId="687DD309" w14:textId="56F08AB1" w:rsidR="002D0874" w:rsidRPr="00C1054E" w:rsidRDefault="002D0874" w:rsidP="007E25DF">
            <w:pPr>
              <w:jc w:val="center"/>
              <w:rPr>
                <w:rFonts w:ascii="Arial" w:hAnsi="Arial" w:cs="Arial"/>
                <w:b/>
                <w:color w:val="000000" w:themeColor="text1"/>
                <w:sz w:val="24"/>
                <w:szCs w:val="24"/>
              </w:rPr>
            </w:pPr>
            <w:r w:rsidRPr="00C1054E">
              <w:rPr>
                <w:rFonts w:ascii="Arial" w:hAnsi="Arial" w:cs="Arial"/>
                <w:b/>
                <w:color w:val="000000" w:themeColor="text1"/>
                <w:sz w:val="24"/>
                <w:szCs w:val="24"/>
              </w:rPr>
              <w:t xml:space="preserve">TEXTO PROPUESTO PRIMER DEBATE </w:t>
            </w:r>
          </w:p>
        </w:tc>
        <w:tc>
          <w:tcPr>
            <w:tcW w:w="2267" w:type="dxa"/>
          </w:tcPr>
          <w:p w14:paraId="01A385EC" w14:textId="27AFC1FF" w:rsidR="002D0874" w:rsidRPr="00C1054E" w:rsidRDefault="002D0874" w:rsidP="007E25DF">
            <w:pPr>
              <w:jc w:val="center"/>
              <w:rPr>
                <w:rFonts w:ascii="Arial" w:hAnsi="Arial" w:cs="Arial"/>
                <w:b/>
                <w:color w:val="000000" w:themeColor="text1"/>
                <w:sz w:val="24"/>
                <w:szCs w:val="24"/>
              </w:rPr>
            </w:pPr>
            <w:r w:rsidRPr="00C1054E">
              <w:rPr>
                <w:rFonts w:ascii="Arial" w:hAnsi="Arial" w:cs="Arial"/>
                <w:b/>
                <w:color w:val="000000" w:themeColor="text1"/>
                <w:sz w:val="24"/>
                <w:szCs w:val="24"/>
              </w:rPr>
              <w:t>OBSERVACIÓN</w:t>
            </w:r>
          </w:p>
        </w:tc>
      </w:tr>
      <w:tr w:rsidR="00C1054E" w:rsidRPr="00C1054E" w14:paraId="1E1DA596" w14:textId="79554F7A" w:rsidTr="002D0874">
        <w:tc>
          <w:tcPr>
            <w:tcW w:w="3256" w:type="dxa"/>
          </w:tcPr>
          <w:p w14:paraId="0DB4D7A1" w14:textId="4D66E19D" w:rsidR="002D0874" w:rsidRPr="00C1054E" w:rsidRDefault="002D0874" w:rsidP="00072E4E">
            <w:pPr>
              <w:jc w:val="both"/>
              <w:rPr>
                <w:rFonts w:ascii="Arial" w:hAnsi="Arial" w:cs="Arial"/>
                <w:b/>
                <w:color w:val="000000" w:themeColor="text1"/>
                <w:sz w:val="24"/>
                <w:szCs w:val="24"/>
              </w:rPr>
            </w:pPr>
            <w:r w:rsidRPr="00C1054E">
              <w:rPr>
                <w:rFonts w:ascii="Arial" w:eastAsia="Arial" w:hAnsi="Arial" w:cs="Arial"/>
                <w:color w:val="000000" w:themeColor="text1"/>
                <w:sz w:val="24"/>
                <w:szCs w:val="24"/>
              </w:rPr>
              <w:t xml:space="preserve">“Por medio del cual se establece el ingreso base de cotización (IBC) de los independientes” </w:t>
            </w:r>
            <w:r w:rsidRPr="00C1054E">
              <w:rPr>
                <w:rFonts w:ascii="Arial" w:eastAsia="Arial" w:hAnsi="Arial" w:cs="Arial"/>
                <w:strike/>
                <w:color w:val="000000" w:themeColor="text1"/>
                <w:sz w:val="24"/>
                <w:szCs w:val="24"/>
              </w:rPr>
              <w:t>o “Ley de dignificación y protección de los trabajadores independientes”.</w:t>
            </w:r>
          </w:p>
        </w:tc>
        <w:tc>
          <w:tcPr>
            <w:tcW w:w="4110" w:type="dxa"/>
          </w:tcPr>
          <w:p w14:paraId="6DC0F255" w14:textId="2A3576E6" w:rsidR="002D0874" w:rsidRPr="00C1054E" w:rsidRDefault="002D0874" w:rsidP="00C1054E">
            <w:pPr>
              <w:jc w:val="both"/>
              <w:rPr>
                <w:rFonts w:ascii="Arial" w:hAnsi="Arial" w:cs="Arial"/>
                <w:b/>
                <w:color w:val="000000" w:themeColor="text1"/>
                <w:sz w:val="24"/>
                <w:szCs w:val="24"/>
              </w:rPr>
            </w:pPr>
            <w:r w:rsidRPr="00C1054E">
              <w:rPr>
                <w:rFonts w:ascii="Arial" w:eastAsia="Arial" w:hAnsi="Arial" w:cs="Arial"/>
                <w:color w:val="000000" w:themeColor="text1"/>
                <w:sz w:val="24"/>
                <w:szCs w:val="24"/>
              </w:rPr>
              <w:t>“Por medio del cual se establece el ingreso base de cotización (IBC) de los independientes”</w:t>
            </w:r>
            <w:r w:rsidR="00C1054E" w:rsidRPr="00C1054E">
              <w:rPr>
                <w:rFonts w:ascii="Arial" w:eastAsia="Arial" w:hAnsi="Arial" w:cs="Arial"/>
                <w:color w:val="000000" w:themeColor="text1"/>
                <w:sz w:val="24"/>
                <w:szCs w:val="24"/>
              </w:rPr>
              <w:t>.</w:t>
            </w:r>
            <w:r w:rsidRPr="00C1054E">
              <w:rPr>
                <w:rFonts w:ascii="Arial" w:eastAsia="Arial" w:hAnsi="Arial" w:cs="Arial"/>
                <w:color w:val="000000" w:themeColor="text1"/>
                <w:sz w:val="24"/>
                <w:szCs w:val="24"/>
              </w:rPr>
              <w:t xml:space="preserve"> </w:t>
            </w:r>
          </w:p>
        </w:tc>
        <w:tc>
          <w:tcPr>
            <w:tcW w:w="2267" w:type="dxa"/>
          </w:tcPr>
          <w:p w14:paraId="58D6E39F" w14:textId="2C380323" w:rsidR="002D0874" w:rsidRPr="00C1054E" w:rsidRDefault="002D0874" w:rsidP="00072E4E">
            <w:pPr>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Se ajusta la redacción del título para que sea más preciso. </w:t>
            </w:r>
          </w:p>
        </w:tc>
      </w:tr>
      <w:tr w:rsidR="00C1054E" w:rsidRPr="00C1054E" w14:paraId="34CE7908" w14:textId="46E72A25" w:rsidTr="002D0874">
        <w:tc>
          <w:tcPr>
            <w:tcW w:w="3256" w:type="dxa"/>
          </w:tcPr>
          <w:p w14:paraId="08E18120" w14:textId="77777777" w:rsidR="002D0874" w:rsidRPr="00C1054E" w:rsidRDefault="002D0874" w:rsidP="007A6A16">
            <w:pPr>
              <w:spacing w:line="240" w:lineRule="auto"/>
              <w:jc w:val="both"/>
              <w:rPr>
                <w:rFonts w:ascii="Arial" w:eastAsia="Arial" w:hAnsi="Arial" w:cs="Arial"/>
                <w:color w:val="000000" w:themeColor="text1"/>
                <w:sz w:val="24"/>
                <w:szCs w:val="24"/>
              </w:rPr>
            </w:pPr>
            <w:r w:rsidRPr="00C1054E">
              <w:rPr>
                <w:rFonts w:ascii="Arial" w:eastAsia="Arial" w:hAnsi="Arial" w:cs="Arial"/>
                <w:b/>
                <w:color w:val="000000" w:themeColor="text1"/>
                <w:sz w:val="24"/>
                <w:szCs w:val="24"/>
              </w:rPr>
              <w:t>Artículo 1. Objeto.</w:t>
            </w:r>
            <w:r w:rsidRPr="00C1054E">
              <w:rPr>
                <w:rFonts w:ascii="Arial" w:eastAsia="Arial" w:hAnsi="Arial" w:cs="Arial"/>
                <w:color w:val="000000" w:themeColor="text1"/>
                <w:sz w:val="24"/>
                <w:szCs w:val="24"/>
              </w:rPr>
              <w:t xml:space="preserve"> La presente ley tiene por objeto establecer el régimen de ingreso base de cotización (IBC) </w:t>
            </w:r>
            <w:r w:rsidRPr="00C1054E">
              <w:rPr>
                <w:rFonts w:ascii="Arial" w:eastAsia="Arial" w:hAnsi="Arial" w:cs="Arial"/>
                <w:strike/>
                <w:color w:val="000000" w:themeColor="text1"/>
                <w:sz w:val="24"/>
                <w:szCs w:val="24"/>
              </w:rPr>
              <w:t xml:space="preserve">en los contratos de prestación de servicios, para los trabajadores independientes por cuenta propia, para los independientes con contratos diferentes a prestación de servicios personales y para aquellos contratistas  públicos y privados que por sus </w:t>
            </w:r>
            <w:r w:rsidRPr="00C1054E">
              <w:rPr>
                <w:rFonts w:ascii="Arial" w:eastAsia="Arial" w:hAnsi="Arial" w:cs="Arial"/>
                <w:strike/>
                <w:color w:val="000000" w:themeColor="text1"/>
                <w:sz w:val="24"/>
                <w:szCs w:val="24"/>
              </w:rPr>
              <w:lastRenderedPageBreak/>
              <w:t>funciones intervengan en actos u operaciones en los cuales deban, por expresa disposición legal, deban efectuar retención de aportes al sistema de seguridad social integral. Asimismo, se establece en cabeza del gobierno nacional, de manera coordinada con las entidades territoriales el deber de diseñar una política pública para reducir el abuso de la vinculación de personas bajo esta modalidad de contrato.</w:t>
            </w:r>
            <w:r w:rsidRPr="00C1054E">
              <w:rPr>
                <w:rFonts w:ascii="Arial" w:eastAsia="Arial" w:hAnsi="Arial" w:cs="Arial"/>
                <w:color w:val="000000" w:themeColor="text1"/>
                <w:sz w:val="24"/>
                <w:szCs w:val="24"/>
              </w:rPr>
              <w:t xml:space="preserve"> </w:t>
            </w:r>
          </w:p>
          <w:p w14:paraId="6FE3317B" w14:textId="2DA71407" w:rsidR="002D0874" w:rsidRPr="00C1054E" w:rsidRDefault="002D0874" w:rsidP="00186014">
            <w:pPr>
              <w:jc w:val="center"/>
              <w:rPr>
                <w:rFonts w:ascii="Arial" w:hAnsi="Arial" w:cs="Arial"/>
                <w:strike/>
                <w:color w:val="000000" w:themeColor="text1"/>
                <w:sz w:val="24"/>
                <w:szCs w:val="24"/>
              </w:rPr>
            </w:pPr>
          </w:p>
        </w:tc>
        <w:tc>
          <w:tcPr>
            <w:tcW w:w="4110" w:type="dxa"/>
          </w:tcPr>
          <w:p w14:paraId="411DF1B5" w14:textId="6A1876E6" w:rsidR="002D0874" w:rsidRPr="00C1054E" w:rsidRDefault="002D0874" w:rsidP="00C1054E">
            <w:pPr>
              <w:spacing w:after="0" w:line="264" w:lineRule="auto"/>
              <w:jc w:val="both"/>
              <w:rPr>
                <w:rFonts w:ascii="Arial" w:hAnsi="Arial" w:cs="Arial"/>
                <w:b/>
                <w:color w:val="000000" w:themeColor="text1"/>
                <w:sz w:val="24"/>
                <w:szCs w:val="24"/>
                <w:u w:val="single"/>
              </w:rPr>
            </w:pPr>
            <w:r w:rsidRPr="00C1054E">
              <w:rPr>
                <w:rFonts w:ascii="Arial" w:eastAsia="Arial" w:hAnsi="Arial" w:cs="Arial"/>
                <w:b/>
                <w:color w:val="000000" w:themeColor="text1"/>
                <w:sz w:val="24"/>
                <w:szCs w:val="24"/>
              </w:rPr>
              <w:lastRenderedPageBreak/>
              <w:t>Artículo 1. Objeto.</w:t>
            </w:r>
            <w:r w:rsidRPr="00C1054E">
              <w:rPr>
                <w:rFonts w:ascii="Arial" w:eastAsia="Arial" w:hAnsi="Arial" w:cs="Arial"/>
                <w:color w:val="000000" w:themeColor="text1"/>
                <w:sz w:val="24"/>
                <w:szCs w:val="24"/>
              </w:rPr>
              <w:t xml:space="preserve"> La presente ley tiene por objeto establecer el régimen de ingreso base de cotización (IBC) </w:t>
            </w:r>
            <w:r w:rsidRPr="00C1054E">
              <w:rPr>
                <w:rFonts w:ascii="Arial" w:eastAsia="Arial" w:hAnsi="Arial" w:cs="Arial"/>
                <w:b/>
                <w:color w:val="000000" w:themeColor="text1"/>
                <w:sz w:val="24"/>
                <w:szCs w:val="24"/>
                <w:u w:val="single"/>
              </w:rPr>
              <w:t>para el pago de los aportes que hacen los independientes al sistema de seguridad social integral.</w:t>
            </w:r>
            <w:r w:rsidRPr="00C1054E">
              <w:rPr>
                <w:rFonts w:ascii="Arial" w:eastAsia="Arial" w:hAnsi="Arial" w:cs="Arial"/>
                <w:color w:val="000000" w:themeColor="text1"/>
                <w:sz w:val="24"/>
                <w:szCs w:val="24"/>
              </w:rPr>
              <w:t xml:space="preserve">  </w:t>
            </w:r>
          </w:p>
        </w:tc>
        <w:tc>
          <w:tcPr>
            <w:tcW w:w="2267" w:type="dxa"/>
          </w:tcPr>
          <w:p w14:paraId="2D48B00C" w14:textId="1A8E739C" w:rsidR="002D0874" w:rsidRPr="00C1054E" w:rsidRDefault="002D0874" w:rsidP="00B468E2">
            <w:pPr>
              <w:spacing w:after="0" w:line="264"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Se modifica y simplifica la redacción del objeto del proyecto conforme a los comentarios hechos por parte del Ministerio del Trabajo. </w:t>
            </w:r>
          </w:p>
        </w:tc>
      </w:tr>
      <w:tr w:rsidR="00C1054E" w:rsidRPr="00C1054E" w14:paraId="38F75982" w14:textId="589697B2" w:rsidTr="002D0874">
        <w:tc>
          <w:tcPr>
            <w:tcW w:w="3256" w:type="dxa"/>
          </w:tcPr>
          <w:p w14:paraId="72AAB811" w14:textId="77777777" w:rsidR="002D0874" w:rsidRPr="00C1054E" w:rsidRDefault="002D0874" w:rsidP="00EF5D58">
            <w:pPr>
              <w:spacing w:line="276" w:lineRule="auto"/>
              <w:jc w:val="both"/>
              <w:rPr>
                <w:rFonts w:ascii="Arial" w:eastAsia="Arial" w:hAnsi="Arial" w:cs="Arial"/>
                <w:color w:val="000000" w:themeColor="text1"/>
                <w:sz w:val="24"/>
                <w:szCs w:val="24"/>
              </w:rPr>
            </w:pPr>
            <w:r w:rsidRPr="00C1054E">
              <w:rPr>
                <w:rFonts w:ascii="Arial" w:eastAsia="Arial" w:hAnsi="Arial" w:cs="Arial"/>
                <w:b/>
                <w:color w:val="000000" w:themeColor="text1"/>
                <w:sz w:val="24"/>
                <w:szCs w:val="24"/>
              </w:rPr>
              <w:lastRenderedPageBreak/>
              <w:t>Artículo 2. INGRESO BASE DE COTIZACIÓN (IBC) DE LOS INDEPENDIENTES.</w:t>
            </w:r>
          </w:p>
          <w:p w14:paraId="1A646C19" w14:textId="77777777" w:rsidR="002D0874" w:rsidRPr="00C1054E" w:rsidRDefault="002D0874" w:rsidP="00EF5D58">
            <w:pPr>
              <w:pStyle w:val="NormalWeb"/>
              <w:spacing w:line="270" w:lineRule="atLeast"/>
              <w:jc w:val="both"/>
              <w:rPr>
                <w:rFonts w:ascii="Arial" w:eastAsia="Arial" w:hAnsi="Arial" w:cs="Arial"/>
                <w:strike/>
                <w:color w:val="000000" w:themeColor="text1"/>
              </w:rPr>
            </w:pPr>
            <w:r w:rsidRPr="00C1054E">
              <w:rPr>
                <w:rFonts w:ascii="Arial" w:eastAsia="Arial" w:hAnsi="Arial" w:cs="Arial"/>
                <w:strike/>
                <w:color w:val="000000" w:themeColor="text1"/>
              </w:rPr>
              <w:t>Los trabajadores independientes con ingresos netos iguales o superiores a 1 salario mínimo legal mensual vigente que celebren contratos de prestación de servicios personales, cotizarán mes vencido al Sistema de Seguridad Social Integral, sobre una base mínima del 40% del valor mensualizado del contrato, sin incluir el valor del Impuesto al Valor Agregado (IVA).</w:t>
            </w:r>
          </w:p>
          <w:p w14:paraId="1993C1BE" w14:textId="77777777" w:rsidR="002D0874" w:rsidRPr="00C1054E" w:rsidRDefault="002D0874" w:rsidP="00EF5D58">
            <w:pPr>
              <w:pStyle w:val="NormalWeb"/>
              <w:spacing w:line="270" w:lineRule="atLeast"/>
              <w:jc w:val="both"/>
              <w:rPr>
                <w:rFonts w:ascii="Arial" w:eastAsia="Arial" w:hAnsi="Arial" w:cs="Arial"/>
                <w:strike/>
                <w:color w:val="000000" w:themeColor="text1"/>
              </w:rPr>
            </w:pPr>
            <w:r w:rsidRPr="00C1054E">
              <w:rPr>
                <w:rFonts w:ascii="Arial" w:eastAsia="Arial" w:hAnsi="Arial" w:cs="Arial"/>
                <w:strike/>
                <w:color w:val="000000" w:themeColor="text1"/>
              </w:rPr>
              <w:t xml:space="preserve">Los independientes por cuenta propia y los trabajadores independientes </w:t>
            </w:r>
            <w:r w:rsidRPr="00C1054E">
              <w:rPr>
                <w:rFonts w:ascii="Arial" w:eastAsia="Arial" w:hAnsi="Arial" w:cs="Arial"/>
                <w:strike/>
                <w:color w:val="000000" w:themeColor="text1"/>
              </w:rPr>
              <w:lastRenderedPageBreak/>
              <w:t>con contratos diferentes a prestación de servicios personales con ingresos netos iguales o superiores a un (1) salario mínimo legal mensual vigente efectuarán su cotización mes vencido, sobre una base mínima de cotización del 40% del valor mensualizado de los ingresos, sin incluir el valor del Impuesto al Valor Agregado (IVA). En</w:t>
            </w:r>
            <w:r w:rsidRPr="00C1054E">
              <w:rPr>
                <w:rFonts w:ascii="Arial" w:eastAsia="Arial" w:hAnsi="Arial" w:cs="Arial"/>
                <w:color w:val="000000" w:themeColor="text1"/>
              </w:rPr>
              <w:t xml:space="preserve"> </w:t>
            </w:r>
            <w:r w:rsidRPr="00C1054E">
              <w:rPr>
                <w:rFonts w:ascii="Arial" w:eastAsia="Arial" w:hAnsi="Arial" w:cs="Arial"/>
                <w:strike/>
                <w:color w:val="000000" w:themeColor="text1"/>
              </w:rPr>
              <w:t>estos casos será procedente la imputación de costos y deducciones siempre que se cumplan los criterios determinados en el artículo </w:t>
            </w:r>
            <w:hyperlink r:id="rId10" w:anchor="107" w:history="1">
              <w:r w:rsidRPr="00C1054E">
                <w:rPr>
                  <w:rFonts w:ascii="Arial" w:eastAsia="Arial" w:hAnsi="Arial" w:cs="Arial"/>
                  <w:strike/>
                  <w:color w:val="000000" w:themeColor="text1"/>
                </w:rPr>
                <w:t>107</w:t>
              </w:r>
            </w:hyperlink>
            <w:r w:rsidRPr="00C1054E">
              <w:rPr>
                <w:rFonts w:ascii="Arial" w:eastAsia="Arial" w:hAnsi="Arial" w:cs="Arial"/>
                <w:strike/>
                <w:color w:val="000000" w:themeColor="text1"/>
              </w:rPr>
              <w:t> del Estatuto Tributario y sin exceder los valores incluidos en la declaración de renta de la respectiva vigencia.</w:t>
            </w:r>
          </w:p>
          <w:p w14:paraId="547C5483" w14:textId="77777777" w:rsidR="002D0874" w:rsidRPr="00C1054E" w:rsidRDefault="002D0874" w:rsidP="00EF5D58">
            <w:pPr>
              <w:pStyle w:val="NormalWeb"/>
              <w:spacing w:line="270" w:lineRule="atLeast"/>
              <w:jc w:val="both"/>
              <w:rPr>
                <w:rFonts w:ascii="Arial" w:eastAsia="Arial" w:hAnsi="Arial" w:cs="Arial"/>
                <w:strike/>
                <w:color w:val="000000" w:themeColor="text1"/>
              </w:rPr>
            </w:pPr>
            <w:r w:rsidRPr="00C1054E">
              <w:rPr>
                <w:rFonts w:ascii="Arial" w:eastAsia="Arial" w:hAnsi="Arial" w:cs="Arial"/>
                <w:strike/>
                <w:color w:val="000000" w:themeColor="text1"/>
              </w:rPr>
              <w:t>El Gobierno nacional reglamentará el mecanismo para realizar la mensualización de que trata el presente artículo.</w:t>
            </w:r>
          </w:p>
          <w:p w14:paraId="40C31229" w14:textId="77777777" w:rsidR="002D0874" w:rsidRPr="00C1054E" w:rsidRDefault="002D0874" w:rsidP="00EF5D58">
            <w:pPr>
              <w:pStyle w:val="NormalWeb"/>
              <w:spacing w:line="270" w:lineRule="atLeast"/>
              <w:jc w:val="both"/>
              <w:rPr>
                <w:rFonts w:ascii="Arial" w:eastAsia="Arial" w:hAnsi="Arial" w:cs="Arial"/>
                <w:strike/>
                <w:color w:val="000000" w:themeColor="text1"/>
              </w:rPr>
            </w:pPr>
            <w:r w:rsidRPr="00C1054E">
              <w:rPr>
                <w:rFonts w:ascii="Arial" w:eastAsia="Arial" w:hAnsi="Arial" w:cs="Arial"/>
                <w:strike/>
                <w:color w:val="000000" w:themeColor="text1"/>
              </w:rPr>
              <w:t xml:space="preserve">PARÁGRAFO. Para efectos de la determinación del ingreso base de cotización de los trabajadores independientes por cuenta propia y para quienes celebren contratos diferentes de prestación de servicios personales que impliquen subcontratación y/o compra de insumos o </w:t>
            </w:r>
            <w:r w:rsidRPr="00C1054E">
              <w:rPr>
                <w:rFonts w:ascii="Arial" w:eastAsia="Arial" w:hAnsi="Arial" w:cs="Arial"/>
                <w:strike/>
                <w:color w:val="000000" w:themeColor="text1"/>
              </w:rPr>
              <w:lastRenderedPageBreak/>
              <w:t>expensas, la Unidad de Gestión Pensional y Parafiscales (UGPP) deberá, atendiendo a los datos estadísticos producidos por la Dirección de Impuestos y Aduanas Nacionales (DIAN), por el Departamento Administrativo Nacional de Estadística, por el Banco de la República, por la Superintendencia</w:t>
            </w:r>
            <w:r w:rsidRPr="00C1054E">
              <w:rPr>
                <w:rFonts w:ascii="Arial" w:eastAsia="Arial" w:hAnsi="Arial" w:cs="Arial"/>
                <w:color w:val="000000" w:themeColor="text1"/>
              </w:rPr>
              <w:t xml:space="preserve"> </w:t>
            </w:r>
            <w:r w:rsidRPr="00C1054E">
              <w:rPr>
                <w:rFonts w:ascii="Arial" w:eastAsia="Arial" w:hAnsi="Arial" w:cs="Arial"/>
                <w:strike/>
                <w:color w:val="000000" w:themeColor="text1"/>
              </w:rPr>
              <w:t>de Sociedades u otras entidades cuyas estadísticas fueren aplicables, determinar un esquema de presunción de costos.</w:t>
            </w:r>
          </w:p>
          <w:p w14:paraId="169C904E" w14:textId="77777777" w:rsidR="002D0874" w:rsidRPr="00C1054E" w:rsidRDefault="002D0874" w:rsidP="00EF5D58">
            <w:pPr>
              <w:pStyle w:val="NormalWeb"/>
              <w:spacing w:line="270" w:lineRule="atLeast"/>
              <w:jc w:val="both"/>
              <w:rPr>
                <w:rFonts w:ascii="Arial" w:eastAsia="Arial" w:hAnsi="Arial" w:cs="Arial"/>
                <w:strike/>
                <w:color w:val="000000" w:themeColor="text1"/>
              </w:rPr>
            </w:pPr>
            <w:r w:rsidRPr="00C1054E">
              <w:rPr>
                <w:rFonts w:ascii="Arial" w:eastAsia="Arial" w:hAnsi="Arial" w:cs="Arial"/>
                <w:strike/>
                <w:color w:val="000000" w:themeColor="text1"/>
              </w:rPr>
              <w:t>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w:t>
            </w:r>
            <w:r w:rsidRPr="00C1054E">
              <w:rPr>
                <w:rFonts w:ascii="Arial" w:eastAsia="Arial" w:hAnsi="Arial" w:cs="Arial"/>
                <w:color w:val="000000" w:themeColor="text1"/>
              </w:rPr>
              <w:t xml:space="preserve"> </w:t>
            </w:r>
            <w:r w:rsidRPr="00C1054E">
              <w:rPr>
                <w:rFonts w:ascii="Arial" w:eastAsia="Arial" w:hAnsi="Arial" w:cs="Arial"/>
                <w:strike/>
                <w:color w:val="000000" w:themeColor="text1"/>
              </w:rPr>
              <w:t>en el artículo </w:t>
            </w:r>
            <w:hyperlink r:id="rId11" w:anchor="107" w:history="1">
              <w:r w:rsidRPr="00C1054E">
                <w:rPr>
                  <w:rFonts w:ascii="Arial" w:eastAsia="Arial" w:hAnsi="Arial" w:cs="Arial"/>
                  <w:strike/>
                  <w:color w:val="000000" w:themeColor="text1"/>
                </w:rPr>
                <w:t>107</w:t>
              </w:r>
            </w:hyperlink>
            <w:r w:rsidRPr="00C1054E">
              <w:rPr>
                <w:rFonts w:ascii="Arial" w:eastAsia="Arial" w:hAnsi="Arial" w:cs="Arial"/>
                <w:strike/>
                <w:color w:val="000000" w:themeColor="text1"/>
              </w:rPr>
              <w:t> del Estatuto Tributario y demás normas que regulen las exigencias para la validez de dichos documentos.</w:t>
            </w:r>
          </w:p>
          <w:p w14:paraId="0F58B8E9" w14:textId="77777777" w:rsidR="002D0874" w:rsidRPr="00C1054E" w:rsidRDefault="002D0874" w:rsidP="00EF5D58">
            <w:pPr>
              <w:pStyle w:val="NormalWeb"/>
              <w:spacing w:line="270" w:lineRule="atLeast"/>
              <w:jc w:val="both"/>
              <w:rPr>
                <w:rFonts w:ascii="Arial" w:eastAsia="Arial" w:hAnsi="Arial" w:cs="Arial"/>
                <w:strike/>
                <w:color w:val="000000" w:themeColor="text1"/>
              </w:rPr>
            </w:pPr>
            <w:r w:rsidRPr="00C1054E">
              <w:rPr>
                <w:rFonts w:ascii="Arial" w:eastAsia="Arial" w:hAnsi="Arial" w:cs="Arial"/>
                <w:strike/>
                <w:color w:val="000000" w:themeColor="text1"/>
              </w:rPr>
              <w:t xml:space="preserve">PARÁGRAFO 2o. La UGPP podrá aplicar el esquema de presunción previsto en el parágrafo anterior a los procesos de fiscalización en curso y a los que se inicien respecto de cualquier </w:t>
            </w:r>
            <w:r w:rsidRPr="00C1054E">
              <w:rPr>
                <w:rFonts w:ascii="Arial" w:eastAsia="Arial" w:hAnsi="Arial" w:cs="Arial"/>
                <w:strike/>
                <w:color w:val="000000" w:themeColor="text1"/>
              </w:rPr>
              <w:lastRenderedPageBreak/>
              <w:t>vigencia fiscal y a los que, siendo procedente y sin requerir el consentimiento previo, estén o llegaren a estar en trámite de resolver a través de revocación directa y no dispongan de</w:t>
            </w:r>
            <w:r w:rsidRPr="00C1054E">
              <w:rPr>
                <w:rFonts w:ascii="Arial" w:eastAsia="Arial" w:hAnsi="Arial" w:cs="Arial"/>
                <w:color w:val="000000" w:themeColor="text1"/>
              </w:rPr>
              <w:t xml:space="preserve"> </w:t>
            </w:r>
            <w:r w:rsidRPr="00C1054E">
              <w:rPr>
                <w:rFonts w:ascii="Arial" w:eastAsia="Arial" w:hAnsi="Arial" w:cs="Arial"/>
                <w:strike/>
                <w:color w:val="000000" w:themeColor="text1"/>
              </w:rPr>
              <w:t>una situación jurídica consolidada por pago.</w:t>
            </w:r>
          </w:p>
          <w:p w14:paraId="59BA7B70" w14:textId="77777777" w:rsidR="002D0874" w:rsidRPr="00C1054E" w:rsidRDefault="002D0874" w:rsidP="00EF5D58">
            <w:pPr>
              <w:pStyle w:val="NormalWeb"/>
              <w:spacing w:line="270" w:lineRule="atLeast"/>
              <w:jc w:val="both"/>
              <w:rPr>
                <w:rFonts w:ascii="Arial" w:eastAsia="Arial" w:hAnsi="Arial" w:cs="Arial"/>
                <w:strike/>
                <w:color w:val="000000" w:themeColor="text1"/>
              </w:rPr>
            </w:pPr>
            <w:r w:rsidRPr="00C1054E">
              <w:rPr>
                <w:rFonts w:ascii="Arial" w:eastAsia="Arial" w:hAnsi="Arial" w:cs="Arial"/>
                <w:strike/>
                <w:color w:val="000000" w:themeColor="text1"/>
              </w:rPr>
              <w:t>Los plazos que se encuentren cursando para resolver recursos o la revocatoria directa de actos administrativos proferidos por la UGPP en la materia, se ampliarán en el mismo término del inicialmente definido por la Ley.</w:t>
            </w:r>
          </w:p>
          <w:p w14:paraId="28B5EBA9" w14:textId="621E6BC0" w:rsidR="002D0874" w:rsidRPr="00C1054E" w:rsidRDefault="002D0874" w:rsidP="00EF5D58">
            <w:pPr>
              <w:spacing w:line="240" w:lineRule="auto"/>
              <w:jc w:val="both"/>
              <w:rPr>
                <w:rFonts w:ascii="Arial" w:eastAsia="Arial" w:hAnsi="Arial" w:cs="Arial"/>
                <w:b/>
                <w:color w:val="000000" w:themeColor="text1"/>
                <w:sz w:val="24"/>
                <w:szCs w:val="24"/>
              </w:rPr>
            </w:pPr>
            <w:r w:rsidRPr="00C1054E">
              <w:rPr>
                <w:rFonts w:ascii="Arial" w:eastAsia="Arial" w:hAnsi="Arial" w:cs="Arial"/>
                <w:strike/>
                <w:color w:val="000000" w:themeColor="text1"/>
                <w:sz w:val="24"/>
                <w:szCs w:val="24"/>
              </w:rPr>
              <w:t>A las decisiones resultantes de la aplicación de la presente disposición también le será aplicable lo dispuesto en el artículo </w:t>
            </w:r>
            <w:hyperlink r:id="rId12" w:anchor="119" w:history="1">
              <w:r w:rsidRPr="00C1054E">
                <w:rPr>
                  <w:rFonts w:ascii="Arial" w:eastAsia="Arial" w:hAnsi="Arial" w:cs="Arial"/>
                  <w:strike/>
                  <w:color w:val="000000" w:themeColor="text1"/>
                  <w:sz w:val="24"/>
                  <w:szCs w:val="24"/>
                </w:rPr>
                <w:t>119</w:t>
              </w:r>
            </w:hyperlink>
            <w:r w:rsidRPr="00C1054E">
              <w:rPr>
                <w:rFonts w:ascii="Arial" w:eastAsia="Arial" w:hAnsi="Arial" w:cs="Arial"/>
                <w:strike/>
                <w:color w:val="000000" w:themeColor="text1"/>
                <w:sz w:val="24"/>
                <w:szCs w:val="24"/>
              </w:rPr>
              <w:t> de la presente ley, cuyo plazo para solicitar la transacción con la UGPP será el 31 de diciembre de 2020</w:t>
            </w:r>
          </w:p>
        </w:tc>
        <w:tc>
          <w:tcPr>
            <w:tcW w:w="4110" w:type="dxa"/>
          </w:tcPr>
          <w:p w14:paraId="498478B4" w14:textId="694A7F4F" w:rsidR="002D0874" w:rsidRPr="00C1054E" w:rsidRDefault="002D0874" w:rsidP="007A6A16">
            <w:pPr>
              <w:spacing w:after="0" w:line="264" w:lineRule="auto"/>
              <w:jc w:val="both"/>
              <w:rPr>
                <w:rFonts w:ascii="Arial" w:hAnsi="Arial" w:cs="Arial"/>
                <w:b/>
                <w:color w:val="000000" w:themeColor="text1"/>
                <w:sz w:val="24"/>
                <w:szCs w:val="24"/>
                <w:u w:val="single"/>
              </w:rPr>
            </w:pPr>
            <w:r w:rsidRPr="00C1054E">
              <w:rPr>
                <w:rFonts w:ascii="Arial" w:hAnsi="Arial" w:cs="Arial"/>
                <w:b/>
                <w:color w:val="000000" w:themeColor="text1"/>
                <w:sz w:val="24"/>
                <w:szCs w:val="24"/>
                <w:u w:val="single"/>
              </w:rPr>
              <w:lastRenderedPageBreak/>
              <w:t xml:space="preserve">Artículo 2.  Ingreso base de cotización (IBC) de los independientes. </w:t>
            </w:r>
          </w:p>
          <w:p w14:paraId="72ACC33F" w14:textId="4D2E9157" w:rsidR="002D0874" w:rsidRPr="00C1054E" w:rsidRDefault="002D0874" w:rsidP="007A6A16">
            <w:pPr>
              <w:spacing w:after="0" w:line="264" w:lineRule="auto"/>
              <w:jc w:val="both"/>
              <w:rPr>
                <w:rFonts w:ascii="Arial" w:hAnsi="Arial" w:cs="Arial"/>
                <w:b/>
                <w:color w:val="000000" w:themeColor="text1"/>
                <w:sz w:val="24"/>
                <w:szCs w:val="24"/>
                <w:u w:val="single"/>
              </w:rPr>
            </w:pPr>
          </w:p>
          <w:p w14:paraId="0E8A87E7" w14:textId="65B1C226" w:rsidR="002D0874" w:rsidRPr="00C1054E" w:rsidRDefault="002D0874" w:rsidP="007A6A16">
            <w:pPr>
              <w:spacing w:after="0" w:line="264" w:lineRule="auto"/>
              <w:jc w:val="both"/>
              <w:rPr>
                <w:rFonts w:ascii="Arial" w:hAnsi="Arial" w:cs="Arial"/>
                <w:b/>
                <w:color w:val="000000" w:themeColor="text1"/>
                <w:sz w:val="24"/>
                <w:szCs w:val="24"/>
                <w:u w:val="single"/>
              </w:rPr>
            </w:pPr>
            <w:r w:rsidRPr="00C1054E">
              <w:rPr>
                <w:rFonts w:ascii="Arial" w:hAnsi="Arial" w:cs="Arial"/>
                <w:b/>
                <w:color w:val="000000" w:themeColor="text1"/>
                <w:sz w:val="24"/>
                <w:szCs w:val="24"/>
                <w:u w:val="single"/>
              </w:rPr>
              <w:t>Los trabajadores independientes con ingresos netos mensuales iguales o superiores a un (1) salario mínimo legal mensual vigente que celebren contratos de prestación de servicios personales, es decir quienes reciben honorarios por servicios de carácter personal, cotizarán mes vencido al Sistema de Seguridad Social Integral, sobre una base mínima del 40% del valor mensualizado del contrato, sin incluir el valor del impuesto sobre las ventas -IVA.</w:t>
            </w:r>
          </w:p>
          <w:p w14:paraId="6F721347" w14:textId="77777777" w:rsidR="002D0874" w:rsidRPr="00C1054E" w:rsidRDefault="002D0874" w:rsidP="007A6A16">
            <w:pPr>
              <w:spacing w:after="0" w:line="264" w:lineRule="auto"/>
              <w:jc w:val="both"/>
              <w:rPr>
                <w:rFonts w:ascii="Arial" w:hAnsi="Arial" w:cs="Arial"/>
                <w:b/>
                <w:color w:val="000000" w:themeColor="text1"/>
                <w:sz w:val="24"/>
                <w:szCs w:val="24"/>
                <w:u w:val="single"/>
              </w:rPr>
            </w:pPr>
          </w:p>
          <w:p w14:paraId="64F76E49" w14:textId="588F5D53" w:rsidR="002D0874" w:rsidRPr="00C1054E" w:rsidRDefault="002D0874" w:rsidP="00463081">
            <w:pPr>
              <w:spacing w:after="0" w:line="264" w:lineRule="auto"/>
              <w:jc w:val="both"/>
              <w:rPr>
                <w:rFonts w:ascii="Arial" w:hAnsi="Arial" w:cs="Arial"/>
                <w:b/>
                <w:color w:val="000000" w:themeColor="text1"/>
                <w:sz w:val="24"/>
                <w:szCs w:val="24"/>
                <w:u w:val="single"/>
              </w:rPr>
            </w:pPr>
            <w:r w:rsidRPr="00C1054E">
              <w:rPr>
                <w:rFonts w:ascii="Arial" w:hAnsi="Arial" w:cs="Arial"/>
                <w:b/>
                <w:color w:val="000000" w:themeColor="text1"/>
                <w:sz w:val="24"/>
                <w:szCs w:val="24"/>
                <w:u w:val="single"/>
              </w:rPr>
              <w:t xml:space="preserve">Los independientes por cuenta propia que realizan una actividad económica bajo su propia cuenta </w:t>
            </w:r>
            <w:r w:rsidRPr="00C1054E">
              <w:rPr>
                <w:rFonts w:ascii="Arial" w:hAnsi="Arial" w:cs="Arial"/>
                <w:b/>
                <w:color w:val="000000" w:themeColor="text1"/>
                <w:sz w:val="24"/>
                <w:szCs w:val="24"/>
                <w:u w:val="single"/>
              </w:rPr>
              <w:lastRenderedPageBreak/>
              <w:t xml:space="preserve">y riesgo y los trabajadores independientes con contratos diferentes a prestación de servicios personales con ingresos netos mensuales iguales o superiores a un (1) salario mínimo legal mensual vigente (SMLMV) efectuarán su cotización mes vencido, sobre una base mínima de cotización del 40% del valor mensual de los ingresos causados para quienes están obligados a llevar contabilidad, o los ingresos efectivamente percibidos para los que no tienen dicha obligación, sin incluir el valor del impuesto sobre las ventas - IVA. Sin perjuicio de lo anterior, quienes no están obligados a llevar contabilidad y decidan llevarla en debida forma, podrán tomar como ingresos para determinar la base de cotización el valor causado o el efectivamente percibido. En estos casos será procedente la imputación de costos y deducciones siempre que se cumplan los criterios determinados en el artículo 107 del Estatuto Tributario y sin exceder los valores incluidos en la declaración de renta de la respectiva vigencia. </w:t>
            </w:r>
          </w:p>
          <w:p w14:paraId="02107A40" w14:textId="77777777" w:rsidR="002D0874" w:rsidRPr="00C1054E" w:rsidRDefault="002D0874" w:rsidP="00463081">
            <w:pPr>
              <w:spacing w:after="0" w:line="264" w:lineRule="auto"/>
              <w:jc w:val="both"/>
              <w:rPr>
                <w:rFonts w:ascii="Arial" w:hAnsi="Arial" w:cs="Arial"/>
                <w:b/>
                <w:color w:val="000000" w:themeColor="text1"/>
                <w:sz w:val="24"/>
                <w:szCs w:val="24"/>
                <w:u w:val="single"/>
              </w:rPr>
            </w:pPr>
          </w:p>
          <w:p w14:paraId="03AA5D4B" w14:textId="77777777" w:rsidR="002D0874" w:rsidRPr="00C1054E" w:rsidRDefault="002D0874" w:rsidP="00463081">
            <w:pPr>
              <w:spacing w:after="0" w:line="264" w:lineRule="auto"/>
              <w:jc w:val="both"/>
              <w:rPr>
                <w:rFonts w:ascii="Arial" w:hAnsi="Arial" w:cs="Arial"/>
                <w:b/>
                <w:color w:val="000000" w:themeColor="text1"/>
                <w:sz w:val="24"/>
                <w:szCs w:val="24"/>
                <w:u w:val="single"/>
              </w:rPr>
            </w:pPr>
            <w:r w:rsidRPr="00C1054E">
              <w:rPr>
                <w:rFonts w:ascii="Arial" w:hAnsi="Arial" w:cs="Arial"/>
                <w:b/>
                <w:color w:val="000000" w:themeColor="text1"/>
                <w:sz w:val="24"/>
                <w:szCs w:val="24"/>
                <w:u w:val="single"/>
              </w:rPr>
              <w:t xml:space="preserve">Cuando las personas objeto de la aplicación de la presente ley perciban ingresos de forma </w:t>
            </w:r>
            <w:r w:rsidRPr="00C1054E">
              <w:rPr>
                <w:rFonts w:ascii="Arial" w:hAnsi="Arial" w:cs="Arial"/>
                <w:b/>
                <w:color w:val="000000" w:themeColor="text1"/>
                <w:sz w:val="24"/>
                <w:szCs w:val="24"/>
                <w:u w:val="single"/>
              </w:rPr>
              <w:lastRenderedPageBreak/>
              <w:t>simultánea provenientes de la ejecución de varias actividades o contratos, las cotizaciones correspondientes serán efectuadas por cada uno de los ingresos percibidos de conformidad con la normatividad aplicable.</w:t>
            </w:r>
          </w:p>
          <w:p w14:paraId="0C81CD64" w14:textId="77777777" w:rsidR="002D0874" w:rsidRPr="00C1054E" w:rsidRDefault="002D0874" w:rsidP="00463081">
            <w:pPr>
              <w:spacing w:after="0" w:line="264" w:lineRule="auto"/>
              <w:jc w:val="both"/>
              <w:rPr>
                <w:rFonts w:ascii="Arial" w:hAnsi="Arial" w:cs="Arial"/>
                <w:b/>
                <w:color w:val="000000" w:themeColor="text1"/>
                <w:sz w:val="24"/>
                <w:szCs w:val="24"/>
                <w:u w:val="single"/>
              </w:rPr>
            </w:pPr>
          </w:p>
          <w:p w14:paraId="7A81EF7A" w14:textId="77777777" w:rsidR="002D0874" w:rsidRPr="00C1054E" w:rsidRDefault="002D0874" w:rsidP="002D0874">
            <w:pPr>
              <w:spacing w:after="0" w:line="264" w:lineRule="auto"/>
              <w:jc w:val="both"/>
              <w:rPr>
                <w:rFonts w:ascii="Arial" w:hAnsi="Arial" w:cs="Arial"/>
                <w:b/>
                <w:color w:val="000000" w:themeColor="text1"/>
                <w:sz w:val="24"/>
                <w:szCs w:val="24"/>
                <w:u w:val="single"/>
              </w:rPr>
            </w:pPr>
            <w:r w:rsidRPr="00C1054E">
              <w:rPr>
                <w:rFonts w:ascii="Arial" w:hAnsi="Arial" w:cs="Arial"/>
                <w:b/>
                <w:color w:val="000000" w:themeColor="text1"/>
                <w:sz w:val="24"/>
                <w:szCs w:val="24"/>
                <w:u w:val="single"/>
              </w:rPr>
              <w:t xml:space="preserve">PARÁGRAFO 1. Para efectos de la determinación del ingreso base de cotización de los trabajadores independientes por cuenta propia y para quienes celebren contratos diferentes de prestación de servicios personales que impliquen subcontratación y/o compra de insumos o expensas, la U.A.E Unidad de Gestión Pensional y Parafiscales -UGPP deberá, atendiendo a los datos estadísticos producidos por la Dirección de Impuestos y Aduanas Nacionales -DIAN, por el Departamento Administrativo Nacional de Estadística -DANE, por el Banco de la República, por la Superintendencia de Sociedades u otras entidades cuyas estadísticas fueren aplicables, determinar un esquema de presunción de costos. No obstante, lo anterior, los obligados podrán establecer costos diferentes de los definidos por el esquema de presunción de costos de la UGPP, siempre y cuando cuenten con los documentos que soporten los costos y deducciones, los cuales </w:t>
            </w:r>
            <w:r w:rsidRPr="00C1054E">
              <w:rPr>
                <w:rFonts w:ascii="Arial" w:hAnsi="Arial" w:cs="Arial"/>
                <w:b/>
                <w:color w:val="000000" w:themeColor="text1"/>
                <w:sz w:val="24"/>
                <w:szCs w:val="24"/>
                <w:u w:val="single"/>
              </w:rPr>
              <w:lastRenderedPageBreak/>
              <w:t xml:space="preserve">deben cumplir con los requisitos establecidos en el artículo 107 del Estatuto Tributario y demás normas que regulen las exigencias para la validez de dichos documentos. </w:t>
            </w:r>
          </w:p>
          <w:p w14:paraId="06B74BAD" w14:textId="77777777" w:rsidR="002D0874" w:rsidRPr="00C1054E" w:rsidRDefault="002D0874" w:rsidP="002D0874">
            <w:pPr>
              <w:spacing w:after="0" w:line="264" w:lineRule="auto"/>
              <w:jc w:val="both"/>
              <w:rPr>
                <w:rFonts w:ascii="Arial" w:hAnsi="Arial" w:cs="Arial"/>
                <w:b/>
                <w:color w:val="000000" w:themeColor="text1"/>
                <w:sz w:val="24"/>
                <w:szCs w:val="24"/>
                <w:u w:val="single"/>
              </w:rPr>
            </w:pPr>
          </w:p>
          <w:p w14:paraId="0B8C6903" w14:textId="77777777" w:rsidR="002D0874" w:rsidRPr="00C1054E" w:rsidRDefault="002D0874" w:rsidP="002D0874">
            <w:pPr>
              <w:spacing w:after="0" w:line="264" w:lineRule="auto"/>
              <w:jc w:val="both"/>
              <w:rPr>
                <w:rFonts w:ascii="Arial" w:hAnsi="Arial" w:cs="Arial"/>
                <w:b/>
                <w:color w:val="000000" w:themeColor="text1"/>
                <w:sz w:val="24"/>
                <w:szCs w:val="24"/>
                <w:u w:val="single"/>
              </w:rPr>
            </w:pPr>
            <w:r w:rsidRPr="00C1054E">
              <w:rPr>
                <w:rFonts w:ascii="Arial" w:hAnsi="Arial" w:cs="Arial"/>
                <w:b/>
                <w:color w:val="000000" w:themeColor="text1"/>
                <w:sz w:val="24"/>
                <w:szCs w:val="24"/>
                <w:u w:val="single"/>
              </w:rPr>
              <w:t>PARÁGRAFO 2. 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r w:rsidRPr="00C1054E">
              <w:rPr>
                <w:rFonts w:ascii="Arial" w:hAnsi="Arial" w:cs="Arial"/>
                <w:color w:val="000000" w:themeColor="text1"/>
                <w:sz w:val="24"/>
                <w:szCs w:val="24"/>
              </w:rPr>
              <w:t>.</w:t>
            </w:r>
          </w:p>
          <w:p w14:paraId="75987C9A" w14:textId="77777777" w:rsidR="00224CE5" w:rsidRPr="00C1054E" w:rsidRDefault="00224CE5" w:rsidP="002D0874">
            <w:pPr>
              <w:spacing w:after="0" w:line="264" w:lineRule="auto"/>
              <w:jc w:val="both"/>
              <w:rPr>
                <w:rFonts w:ascii="Arial" w:hAnsi="Arial" w:cs="Arial"/>
                <w:b/>
                <w:color w:val="000000" w:themeColor="text1"/>
                <w:sz w:val="24"/>
                <w:szCs w:val="24"/>
                <w:u w:val="single"/>
              </w:rPr>
            </w:pPr>
          </w:p>
          <w:p w14:paraId="0620F15E" w14:textId="77777777" w:rsidR="00224CE5" w:rsidRPr="00C1054E" w:rsidRDefault="00224CE5" w:rsidP="00A6690D">
            <w:pPr>
              <w:spacing w:after="0" w:line="264" w:lineRule="auto"/>
              <w:jc w:val="both"/>
              <w:rPr>
                <w:rFonts w:ascii="Arial" w:hAnsi="Arial" w:cs="Arial"/>
                <w:b/>
                <w:color w:val="000000" w:themeColor="text1"/>
                <w:sz w:val="24"/>
                <w:szCs w:val="24"/>
                <w:u w:val="single"/>
              </w:rPr>
            </w:pPr>
            <w:r w:rsidRPr="00C1054E">
              <w:rPr>
                <w:rFonts w:ascii="Arial" w:hAnsi="Arial" w:cs="Arial"/>
                <w:b/>
                <w:color w:val="000000" w:themeColor="text1"/>
                <w:sz w:val="24"/>
                <w:szCs w:val="24"/>
                <w:u w:val="single"/>
              </w:rPr>
              <w:t xml:space="preserve">PARÁGRAFO 3. </w:t>
            </w:r>
            <w:r w:rsidR="00A6690D" w:rsidRPr="00C1054E">
              <w:rPr>
                <w:rFonts w:ascii="Arial" w:hAnsi="Arial" w:cs="Arial"/>
                <w:b/>
                <w:color w:val="000000" w:themeColor="text1"/>
                <w:sz w:val="24"/>
                <w:szCs w:val="24"/>
                <w:u w:val="single"/>
              </w:rPr>
              <w:t>Para cada una de las clases de trabajadores independientes de que trata este artículo e</w:t>
            </w:r>
            <w:r w:rsidRPr="00C1054E">
              <w:rPr>
                <w:rFonts w:ascii="Arial" w:hAnsi="Arial" w:cs="Arial"/>
                <w:b/>
                <w:color w:val="000000" w:themeColor="text1"/>
                <w:sz w:val="24"/>
                <w:szCs w:val="24"/>
                <w:u w:val="single"/>
              </w:rPr>
              <w:t xml:space="preserve">l gobierno nacional determinará el ingreso que compone la base de cotización a los </w:t>
            </w:r>
            <w:r w:rsidR="00D56BF4" w:rsidRPr="00C1054E">
              <w:rPr>
                <w:rFonts w:ascii="Arial" w:hAnsi="Arial" w:cs="Arial"/>
                <w:b/>
                <w:color w:val="000000" w:themeColor="text1"/>
                <w:sz w:val="24"/>
                <w:szCs w:val="24"/>
                <w:u w:val="single"/>
              </w:rPr>
              <w:t>subsistemas</w:t>
            </w:r>
            <w:r w:rsidRPr="00C1054E">
              <w:rPr>
                <w:rFonts w:ascii="Arial" w:hAnsi="Arial" w:cs="Arial"/>
                <w:b/>
                <w:color w:val="000000" w:themeColor="text1"/>
                <w:sz w:val="24"/>
                <w:szCs w:val="24"/>
                <w:u w:val="single"/>
              </w:rPr>
              <w:t xml:space="preserve"> de seguridad social y el procedimiento para</w:t>
            </w:r>
            <w:r w:rsidR="00A6690D" w:rsidRPr="00C1054E">
              <w:rPr>
                <w:rFonts w:ascii="Arial" w:hAnsi="Arial" w:cs="Arial"/>
                <w:b/>
                <w:color w:val="000000" w:themeColor="text1"/>
                <w:sz w:val="24"/>
                <w:szCs w:val="24"/>
                <w:u w:val="single"/>
              </w:rPr>
              <w:t xml:space="preserve"> hacerlo. </w:t>
            </w:r>
            <w:r w:rsidRPr="00C1054E">
              <w:rPr>
                <w:rFonts w:ascii="Arial" w:hAnsi="Arial" w:cs="Arial"/>
                <w:b/>
                <w:color w:val="000000" w:themeColor="text1"/>
                <w:sz w:val="24"/>
                <w:szCs w:val="24"/>
                <w:u w:val="single"/>
              </w:rPr>
              <w:t xml:space="preserve"> </w:t>
            </w:r>
          </w:p>
          <w:p w14:paraId="5D2CD90E" w14:textId="77777777" w:rsidR="00F126D3" w:rsidRPr="00C1054E" w:rsidRDefault="00F126D3" w:rsidP="00A6690D">
            <w:pPr>
              <w:spacing w:after="0" w:line="264" w:lineRule="auto"/>
              <w:jc w:val="both"/>
              <w:rPr>
                <w:rFonts w:ascii="Arial" w:hAnsi="Arial" w:cs="Arial"/>
                <w:b/>
                <w:color w:val="000000" w:themeColor="text1"/>
                <w:sz w:val="24"/>
                <w:szCs w:val="24"/>
                <w:u w:val="single"/>
              </w:rPr>
            </w:pPr>
          </w:p>
          <w:p w14:paraId="75C32BCF" w14:textId="77777777" w:rsidR="00F126D3" w:rsidRPr="00C1054E" w:rsidRDefault="00F126D3" w:rsidP="00D23A1A">
            <w:pPr>
              <w:spacing w:after="0" w:line="264" w:lineRule="auto"/>
              <w:jc w:val="both"/>
              <w:rPr>
                <w:rFonts w:ascii="Arial" w:hAnsi="Arial" w:cs="Arial"/>
                <w:color w:val="000000" w:themeColor="text1"/>
                <w:sz w:val="24"/>
                <w:szCs w:val="24"/>
              </w:rPr>
            </w:pPr>
            <w:r w:rsidRPr="00C1054E">
              <w:rPr>
                <w:rFonts w:ascii="Arial" w:hAnsi="Arial" w:cs="Arial"/>
                <w:b/>
                <w:color w:val="000000" w:themeColor="text1"/>
                <w:sz w:val="24"/>
                <w:szCs w:val="24"/>
                <w:u w:val="single"/>
              </w:rPr>
              <w:t>PARÁGRAFO 4. El gobierno nacional reglamentará dentro de los</w:t>
            </w:r>
            <w:r w:rsidR="00D23A1A" w:rsidRPr="00C1054E">
              <w:rPr>
                <w:rFonts w:ascii="Arial" w:hAnsi="Arial" w:cs="Arial"/>
                <w:b/>
                <w:color w:val="000000" w:themeColor="text1"/>
                <w:sz w:val="24"/>
                <w:szCs w:val="24"/>
                <w:u w:val="single"/>
              </w:rPr>
              <w:t xml:space="preserve"> 6 meses siguientes a la vigencia de esta Ley el procedimiento para el pago de los aportes en periodos que resulten inferiores a un mes. </w:t>
            </w:r>
            <w:r w:rsidRPr="00C1054E">
              <w:rPr>
                <w:rFonts w:ascii="Arial" w:hAnsi="Arial" w:cs="Arial"/>
                <w:color w:val="000000" w:themeColor="text1"/>
                <w:sz w:val="24"/>
                <w:szCs w:val="24"/>
              </w:rPr>
              <w:t xml:space="preserve"> </w:t>
            </w:r>
          </w:p>
          <w:p w14:paraId="22F6AAA3" w14:textId="77777777" w:rsidR="00D23A1A" w:rsidRPr="00C1054E" w:rsidRDefault="00D23A1A" w:rsidP="00D23A1A">
            <w:pPr>
              <w:spacing w:after="0" w:line="264" w:lineRule="auto"/>
              <w:jc w:val="both"/>
              <w:rPr>
                <w:rFonts w:ascii="Arial" w:hAnsi="Arial" w:cs="Arial"/>
                <w:color w:val="000000" w:themeColor="text1"/>
                <w:sz w:val="24"/>
                <w:szCs w:val="24"/>
              </w:rPr>
            </w:pPr>
          </w:p>
          <w:p w14:paraId="661E718F" w14:textId="7BE19CEB" w:rsidR="00D23A1A" w:rsidRPr="00C1054E" w:rsidRDefault="00D23A1A" w:rsidP="00F5390F">
            <w:pPr>
              <w:spacing w:after="0" w:line="264" w:lineRule="auto"/>
              <w:jc w:val="both"/>
              <w:rPr>
                <w:rFonts w:ascii="Arial" w:eastAsia="Arial" w:hAnsi="Arial" w:cs="Arial"/>
                <w:b/>
                <w:color w:val="000000" w:themeColor="text1"/>
                <w:sz w:val="24"/>
                <w:szCs w:val="24"/>
              </w:rPr>
            </w:pPr>
          </w:p>
        </w:tc>
        <w:tc>
          <w:tcPr>
            <w:tcW w:w="2267" w:type="dxa"/>
          </w:tcPr>
          <w:p w14:paraId="108A13E1" w14:textId="3368AFAC" w:rsidR="002D0874" w:rsidRPr="00C1054E" w:rsidRDefault="002D0874" w:rsidP="00322374">
            <w:pPr>
              <w:spacing w:after="0" w:line="264"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lastRenderedPageBreak/>
              <w:t>De acuerdo con los comentarios recibidos por parte del Ministerio del Trabajo Se sustituye el artículo para tomar la norma que fue declarada inexequible de la Ley 1955 de 2019 y además armonizarla con el artículo que está incluido en el proyecto de ley 118 de 20</w:t>
            </w:r>
            <w:r w:rsidR="00D23A1A" w:rsidRPr="00C1054E">
              <w:rPr>
                <w:rFonts w:ascii="Arial" w:eastAsia="Arial" w:hAnsi="Arial" w:cs="Arial"/>
                <w:color w:val="000000" w:themeColor="text1"/>
                <w:sz w:val="24"/>
                <w:szCs w:val="24"/>
              </w:rPr>
              <w:t xml:space="preserve">22 Cámara – 131 de 2022 Senado, incluyendo además las recomendaciones allegadas por la </w:t>
            </w:r>
            <w:r w:rsidR="00D23A1A" w:rsidRPr="00C1054E">
              <w:rPr>
                <w:rFonts w:ascii="Arial" w:eastAsia="Arial" w:hAnsi="Arial" w:cs="Arial"/>
                <w:color w:val="000000" w:themeColor="text1"/>
                <w:sz w:val="24"/>
                <w:szCs w:val="24"/>
              </w:rPr>
              <w:lastRenderedPageBreak/>
              <w:t xml:space="preserve">cartera del trabajo.  </w:t>
            </w:r>
          </w:p>
          <w:p w14:paraId="788036EF" w14:textId="77777777" w:rsidR="002D0874" w:rsidRPr="00C1054E" w:rsidRDefault="002D0874" w:rsidP="00322374">
            <w:pPr>
              <w:spacing w:after="0" w:line="264" w:lineRule="auto"/>
              <w:jc w:val="both"/>
              <w:rPr>
                <w:rFonts w:ascii="Arial" w:eastAsia="Arial" w:hAnsi="Arial" w:cs="Arial"/>
                <w:color w:val="000000" w:themeColor="text1"/>
                <w:sz w:val="24"/>
                <w:szCs w:val="24"/>
              </w:rPr>
            </w:pPr>
          </w:p>
          <w:p w14:paraId="47CE6315" w14:textId="77777777" w:rsidR="002D0874" w:rsidRPr="00C1054E" w:rsidRDefault="002D0874" w:rsidP="00322374">
            <w:pPr>
              <w:spacing w:after="0" w:line="264" w:lineRule="auto"/>
              <w:jc w:val="both"/>
              <w:rPr>
                <w:rFonts w:ascii="Arial" w:eastAsia="Arial" w:hAnsi="Arial" w:cs="Arial"/>
                <w:color w:val="000000" w:themeColor="text1"/>
                <w:sz w:val="24"/>
                <w:szCs w:val="24"/>
              </w:rPr>
            </w:pPr>
          </w:p>
          <w:p w14:paraId="714602C0" w14:textId="2305E1D3" w:rsidR="002D0874" w:rsidRPr="00C1054E" w:rsidRDefault="002D0874" w:rsidP="00322374">
            <w:pPr>
              <w:spacing w:after="0" w:line="264"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De acuerdo con la UGPP, las clases de traba</w:t>
            </w:r>
            <w:r w:rsidR="00C21D39" w:rsidRPr="00C1054E">
              <w:rPr>
                <w:rFonts w:ascii="Arial" w:eastAsia="Arial" w:hAnsi="Arial" w:cs="Arial"/>
                <w:color w:val="000000" w:themeColor="text1"/>
                <w:sz w:val="24"/>
                <w:szCs w:val="24"/>
              </w:rPr>
              <w:t xml:space="preserve">jador </w:t>
            </w:r>
            <w:r w:rsidRPr="00C1054E">
              <w:rPr>
                <w:rFonts w:ascii="Arial" w:eastAsia="Arial" w:hAnsi="Arial" w:cs="Arial"/>
                <w:color w:val="000000" w:themeColor="text1"/>
                <w:sz w:val="24"/>
                <w:szCs w:val="24"/>
              </w:rPr>
              <w:t>indep</w:t>
            </w:r>
            <w:r w:rsidR="00C21D39" w:rsidRPr="00C1054E">
              <w:rPr>
                <w:rFonts w:ascii="Arial" w:eastAsia="Arial" w:hAnsi="Arial" w:cs="Arial"/>
                <w:color w:val="000000" w:themeColor="text1"/>
                <w:sz w:val="24"/>
                <w:szCs w:val="24"/>
              </w:rPr>
              <w:t>endientes son</w:t>
            </w:r>
            <w:r w:rsidR="006224E6" w:rsidRPr="00C1054E">
              <w:rPr>
                <w:rStyle w:val="Refdenotaalpie"/>
                <w:rFonts w:ascii="Arial" w:eastAsia="Arial" w:hAnsi="Arial" w:cs="Arial"/>
                <w:color w:val="000000" w:themeColor="text1"/>
                <w:sz w:val="24"/>
                <w:szCs w:val="24"/>
              </w:rPr>
              <w:footnoteReference w:id="2"/>
            </w:r>
            <w:r w:rsidR="00C21D39" w:rsidRPr="00C1054E">
              <w:rPr>
                <w:rFonts w:ascii="Arial" w:eastAsia="Arial" w:hAnsi="Arial" w:cs="Arial"/>
                <w:color w:val="000000" w:themeColor="text1"/>
                <w:sz w:val="24"/>
                <w:szCs w:val="24"/>
              </w:rPr>
              <w:t xml:space="preserve">: </w:t>
            </w:r>
          </w:p>
          <w:p w14:paraId="4969ACD5" w14:textId="77777777" w:rsidR="00C21D39" w:rsidRPr="00C1054E" w:rsidRDefault="00C21D39" w:rsidP="00322374">
            <w:pPr>
              <w:spacing w:after="0" w:line="264" w:lineRule="auto"/>
              <w:jc w:val="both"/>
              <w:rPr>
                <w:rFonts w:ascii="Arial" w:eastAsia="Arial" w:hAnsi="Arial" w:cs="Arial"/>
                <w:color w:val="000000" w:themeColor="text1"/>
                <w:sz w:val="24"/>
                <w:szCs w:val="24"/>
              </w:rPr>
            </w:pPr>
          </w:p>
          <w:p w14:paraId="4CDCA504" w14:textId="77777777" w:rsidR="00C21D39" w:rsidRPr="00C1054E" w:rsidRDefault="00C21D39" w:rsidP="00C21D39">
            <w:pPr>
              <w:pStyle w:val="NormalWeb"/>
              <w:shd w:val="clear" w:color="auto" w:fill="FFFFFF"/>
              <w:spacing w:before="0" w:beforeAutospacing="0"/>
              <w:jc w:val="both"/>
              <w:rPr>
                <w:rFonts w:ascii="Arial" w:eastAsia="Arial" w:hAnsi="Arial" w:cs="Arial"/>
                <w:color w:val="000000" w:themeColor="text1"/>
                <w:lang w:eastAsia="en-US"/>
              </w:rPr>
            </w:pPr>
            <w:r w:rsidRPr="00C1054E">
              <w:rPr>
                <w:rFonts w:ascii="Arial" w:eastAsia="Arial" w:hAnsi="Arial" w:cs="Arial"/>
                <w:bCs/>
                <w:color w:val="000000" w:themeColor="text1"/>
                <w:lang w:eastAsia="en-US"/>
              </w:rPr>
              <w:t>Independiente con contrato de prestación de servicios personales: </w:t>
            </w:r>
            <w:r w:rsidRPr="00C1054E">
              <w:rPr>
                <w:rFonts w:ascii="Arial" w:eastAsia="Arial" w:hAnsi="Arial" w:cs="Arial"/>
                <w:color w:val="000000" w:themeColor="text1"/>
                <w:lang w:eastAsia="en-US"/>
              </w:rPr>
              <w:t>persona que recibe honorarios por servicios de carácter personal. </w:t>
            </w:r>
          </w:p>
          <w:p w14:paraId="47B3687D" w14:textId="77777777" w:rsidR="00C21D39" w:rsidRPr="00C1054E" w:rsidRDefault="00C21D39" w:rsidP="00C21D39">
            <w:pPr>
              <w:pStyle w:val="NormalWeb"/>
              <w:shd w:val="clear" w:color="auto" w:fill="FFFFFF"/>
              <w:spacing w:before="0" w:beforeAutospacing="0"/>
              <w:jc w:val="both"/>
              <w:rPr>
                <w:rFonts w:ascii="Arial" w:eastAsia="Arial" w:hAnsi="Arial" w:cs="Arial"/>
                <w:color w:val="000000" w:themeColor="text1"/>
                <w:lang w:eastAsia="en-US"/>
              </w:rPr>
            </w:pPr>
            <w:r w:rsidRPr="00C1054E">
              <w:rPr>
                <w:rFonts w:ascii="Arial" w:eastAsia="Arial" w:hAnsi="Arial" w:cs="Arial"/>
                <w:bCs/>
                <w:color w:val="000000" w:themeColor="text1"/>
                <w:lang w:eastAsia="en-US"/>
              </w:rPr>
              <w:t>Independiente con contratos diferentes a prestación de servicios personales: </w:t>
            </w:r>
            <w:r w:rsidRPr="00C1054E">
              <w:rPr>
                <w:rFonts w:ascii="Arial" w:eastAsia="Arial" w:hAnsi="Arial" w:cs="Arial"/>
                <w:color w:val="000000" w:themeColor="text1"/>
                <w:lang w:eastAsia="en-US"/>
              </w:rPr>
              <w:t>persona que celebra otro tipo de contratos. Ejemplos: obras civiles, suministros, insumos, entre otros. </w:t>
            </w:r>
          </w:p>
          <w:p w14:paraId="48BC5BAD" w14:textId="77777777" w:rsidR="00C21D39" w:rsidRPr="00C1054E" w:rsidRDefault="00C21D39" w:rsidP="00C21D39">
            <w:pPr>
              <w:pStyle w:val="NormalWeb"/>
              <w:shd w:val="clear" w:color="auto" w:fill="FFFFFF"/>
              <w:spacing w:before="0" w:beforeAutospacing="0"/>
              <w:jc w:val="both"/>
              <w:rPr>
                <w:rFonts w:ascii="Arial" w:eastAsia="Arial" w:hAnsi="Arial" w:cs="Arial"/>
                <w:color w:val="000000" w:themeColor="text1"/>
                <w:lang w:eastAsia="en-US"/>
              </w:rPr>
            </w:pPr>
            <w:r w:rsidRPr="00C1054E">
              <w:rPr>
                <w:rFonts w:ascii="Arial" w:eastAsia="Arial" w:hAnsi="Arial" w:cs="Arial"/>
                <w:bCs/>
                <w:color w:val="000000" w:themeColor="text1"/>
                <w:lang w:eastAsia="en-US"/>
              </w:rPr>
              <w:t>Independiente por cuenta propia: </w:t>
            </w:r>
            <w:r w:rsidRPr="00C1054E">
              <w:rPr>
                <w:rFonts w:ascii="Arial" w:eastAsia="Arial" w:hAnsi="Arial" w:cs="Arial"/>
                <w:color w:val="000000" w:themeColor="text1"/>
                <w:lang w:eastAsia="en-US"/>
              </w:rPr>
              <w:t xml:space="preserve">persona que realiza una actividad económica bajo su propia cuenta y </w:t>
            </w:r>
            <w:r w:rsidRPr="00C1054E">
              <w:rPr>
                <w:rFonts w:ascii="Arial" w:eastAsia="Arial" w:hAnsi="Arial" w:cs="Arial"/>
                <w:color w:val="000000" w:themeColor="text1"/>
                <w:lang w:eastAsia="en-US"/>
              </w:rPr>
              <w:lastRenderedPageBreak/>
              <w:t>riesgo. Ejemplo: comerciantes. </w:t>
            </w:r>
          </w:p>
          <w:p w14:paraId="7D15D4A2" w14:textId="03909E69" w:rsidR="00C21D39" w:rsidRPr="00C1054E" w:rsidRDefault="00F126D3" w:rsidP="00C21D39">
            <w:pPr>
              <w:pStyle w:val="NormalWeb"/>
              <w:shd w:val="clear" w:color="auto" w:fill="FFFFFF"/>
              <w:spacing w:before="0" w:beforeAutospacing="0"/>
              <w:jc w:val="both"/>
              <w:rPr>
                <w:rFonts w:ascii="Arial" w:eastAsia="Arial" w:hAnsi="Arial" w:cs="Arial"/>
                <w:color w:val="000000" w:themeColor="text1"/>
                <w:lang w:eastAsia="en-US"/>
              </w:rPr>
            </w:pPr>
            <w:r w:rsidRPr="00C1054E">
              <w:rPr>
                <w:rFonts w:ascii="Arial" w:eastAsia="Arial" w:hAnsi="Arial" w:cs="Arial"/>
                <w:bCs/>
                <w:color w:val="000000" w:themeColor="text1"/>
                <w:lang w:eastAsia="en-US"/>
              </w:rPr>
              <w:t>Independiente rentista</w:t>
            </w:r>
            <w:r w:rsidR="00C21D39" w:rsidRPr="00C1054E">
              <w:rPr>
                <w:rFonts w:ascii="Arial" w:eastAsia="Arial" w:hAnsi="Arial" w:cs="Arial"/>
                <w:bCs/>
                <w:color w:val="000000" w:themeColor="text1"/>
                <w:lang w:eastAsia="en-US"/>
              </w:rPr>
              <w:t xml:space="preserve"> de capital:</w:t>
            </w:r>
            <w:r w:rsidR="00C21D39" w:rsidRPr="00C1054E">
              <w:rPr>
                <w:rFonts w:ascii="Arial" w:eastAsia="Arial" w:hAnsi="Arial" w:cs="Arial"/>
                <w:color w:val="000000" w:themeColor="text1"/>
                <w:lang w:eastAsia="en-US"/>
              </w:rPr>
              <w:t> persona que recibe ingresos de arriendos, dividendos, utilidades, entre otros. </w:t>
            </w:r>
          </w:p>
          <w:p w14:paraId="2446719D" w14:textId="25E47BAF" w:rsidR="00C21D39" w:rsidRPr="00C1054E" w:rsidRDefault="00C21D39" w:rsidP="00322374">
            <w:pPr>
              <w:spacing w:after="0" w:line="264" w:lineRule="auto"/>
              <w:jc w:val="both"/>
              <w:rPr>
                <w:rFonts w:ascii="Arial" w:eastAsia="Arial" w:hAnsi="Arial" w:cs="Arial"/>
                <w:color w:val="000000" w:themeColor="text1"/>
                <w:sz w:val="24"/>
                <w:szCs w:val="24"/>
              </w:rPr>
            </w:pPr>
          </w:p>
        </w:tc>
      </w:tr>
      <w:tr w:rsidR="00C1054E" w:rsidRPr="00C1054E" w14:paraId="64CBFEDA" w14:textId="77777777" w:rsidTr="002D0874">
        <w:tc>
          <w:tcPr>
            <w:tcW w:w="3256" w:type="dxa"/>
          </w:tcPr>
          <w:p w14:paraId="1FFD1B6C" w14:textId="77777777" w:rsidR="00B600C4" w:rsidRPr="00C1054E" w:rsidRDefault="00B600C4" w:rsidP="00B600C4">
            <w:pPr>
              <w:spacing w:line="276" w:lineRule="auto"/>
              <w:jc w:val="both"/>
              <w:rPr>
                <w:rFonts w:ascii="Arial" w:eastAsia="Arial" w:hAnsi="Arial" w:cs="Arial"/>
                <w:color w:val="000000" w:themeColor="text1"/>
                <w:sz w:val="24"/>
                <w:szCs w:val="24"/>
              </w:rPr>
            </w:pPr>
            <w:r w:rsidRPr="00C1054E">
              <w:rPr>
                <w:rFonts w:ascii="Arial" w:eastAsia="Arial" w:hAnsi="Arial" w:cs="Arial"/>
                <w:b/>
                <w:color w:val="000000" w:themeColor="text1"/>
                <w:sz w:val="24"/>
                <w:szCs w:val="24"/>
              </w:rPr>
              <w:lastRenderedPageBreak/>
              <w:t xml:space="preserve">Artículo 3. </w:t>
            </w:r>
            <w:r w:rsidRPr="00C1054E">
              <w:rPr>
                <w:rFonts w:ascii="Arial" w:eastAsia="Arial" w:hAnsi="Arial" w:cs="Arial"/>
                <w:color w:val="000000" w:themeColor="text1"/>
                <w:sz w:val="24"/>
                <w:szCs w:val="24"/>
              </w:rPr>
              <w:t xml:space="preserve">Vigencia. </w:t>
            </w:r>
            <w:r w:rsidRPr="00C1054E">
              <w:rPr>
                <w:rFonts w:ascii="Arial" w:hAnsi="Arial" w:cs="Arial"/>
                <w:color w:val="000000" w:themeColor="text1"/>
                <w:sz w:val="24"/>
                <w:szCs w:val="24"/>
              </w:rPr>
              <w:t xml:space="preserve">La presente ley rige a partir de su </w:t>
            </w:r>
            <w:r w:rsidRPr="00C1054E">
              <w:rPr>
                <w:rFonts w:ascii="Arial" w:hAnsi="Arial" w:cs="Arial"/>
                <w:strike/>
                <w:color w:val="000000" w:themeColor="text1"/>
                <w:sz w:val="24"/>
                <w:szCs w:val="24"/>
              </w:rPr>
              <w:t>promulgación</w:t>
            </w:r>
            <w:r w:rsidRPr="00C1054E">
              <w:rPr>
                <w:rFonts w:ascii="Arial" w:hAnsi="Arial" w:cs="Arial"/>
                <w:color w:val="000000" w:themeColor="text1"/>
                <w:sz w:val="24"/>
                <w:szCs w:val="24"/>
              </w:rPr>
              <w:t xml:space="preserve"> y deroga todas las disposiciones que le sean contrarias.</w:t>
            </w:r>
          </w:p>
          <w:p w14:paraId="07F9F64D" w14:textId="77777777" w:rsidR="00B600C4" w:rsidRPr="00C1054E" w:rsidRDefault="00B600C4" w:rsidP="00EF5D58">
            <w:pPr>
              <w:spacing w:line="276" w:lineRule="auto"/>
              <w:jc w:val="both"/>
              <w:rPr>
                <w:rFonts w:ascii="Arial" w:eastAsia="Arial" w:hAnsi="Arial" w:cs="Arial"/>
                <w:b/>
                <w:color w:val="000000" w:themeColor="text1"/>
                <w:sz w:val="24"/>
                <w:szCs w:val="24"/>
              </w:rPr>
            </w:pPr>
          </w:p>
        </w:tc>
        <w:tc>
          <w:tcPr>
            <w:tcW w:w="4110" w:type="dxa"/>
          </w:tcPr>
          <w:p w14:paraId="4C11BFF2" w14:textId="7020C48C" w:rsidR="00B600C4" w:rsidRPr="00C1054E" w:rsidRDefault="00B600C4" w:rsidP="00B600C4">
            <w:pPr>
              <w:spacing w:line="276" w:lineRule="auto"/>
              <w:jc w:val="both"/>
              <w:rPr>
                <w:rFonts w:ascii="Arial" w:eastAsia="Arial" w:hAnsi="Arial" w:cs="Arial"/>
                <w:color w:val="000000" w:themeColor="text1"/>
                <w:sz w:val="24"/>
                <w:szCs w:val="24"/>
              </w:rPr>
            </w:pPr>
            <w:r w:rsidRPr="00C1054E">
              <w:rPr>
                <w:rFonts w:ascii="Arial" w:eastAsia="Arial" w:hAnsi="Arial" w:cs="Arial"/>
                <w:b/>
                <w:color w:val="000000" w:themeColor="text1"/>
                <w:sz w:val="24"/>
                <w:szCs w:val="24"/>
              </w:rPr>
              <w:t xml:space="preserve">Artículo </w:t>
            </w:r>
            <w:r w:rsidR="00C1054E" w:rsidRPr="00C1054E">
              <w:rPr>
                <w:rFonts w:ascii="Arial" w:eastAsia="Arial" w:hAnsi="Arial" w:cs="Arial"/>
                <w:b/>
                <w:color w:val="000000" w:themeColor="text1"/>
                <w:sz w:val="24"/>
                <w:szCs w:val="24"/>
              </w:rPr>
              <w:t>3</w:t>
            </w:r>
            <w:r w:rsidRPr="00C1054E">
              <w:rPr>
                <w:rFonts w:ascii="Arial" w:eastAsia="Arial" w:hAnsi="Arial" w:cs="Arial"/>
                <w:b/>
                <w:color w:val="000000" w:themeColor="text1"/>
                <w:sz w:val="24"/>
                <w:szCs w:val="24"/>
              </w:rPr>
              <w:t xml:space="preserve">. </w:t>
            </w:r>
            <w:r w:rsidRPr="00C1054E">
              <w:rPr>
                <w:rFonts w:ascii="Arial" w:eastAsia="Arial" w:hAnsi="Arial" w:cs="Arial"/>
                <w:color w:val="000000" w:themeColor="text1"/>
                <w:sz w:val="24"/>
                <w:szCs w:val="24"/>
              </w:rPr>
              <w:t xml:space="preserve">Vigencia. </w:t>
            </w:r>
            <w:r w:rsidRPr="00C1054E">
              <w:rPr>
                <w:rFonts w:ascii="Arial" w:hAnsi="Arial" w:cs="Arial"/>
                <w:color w:val="000000" w:themeColor="text1"/>
                <w:sz w:val="24"/>
                <w:szCs w:val="24"/>
              </w:rPr>
              <w:t>La presente ley rige a partir de su</w:t>
            </w:r>
            <w:r w:rsidRPr="00C1054E">
              <w:rPr>
                <w:rFonts w:ascii="Arial" w:hAnsi="Arial" w:cs="Arial"/>
                <w:b/>
                <w:color w:val="000000" w:themeColor="text1"/>
                <w:sz w:val="24"/>
                <w:szCs w:val="24"/>
                <w:u w:val="single"/>
              </w:rPr>
              <w:t xml:space="preserve"> </w:t>
            </w:r>
            <w:r w:rsidR="0022766A" w:rsidRPr="00C1054E">
              <w:rPr>
                <w:rFonts w:ascii="Arial" w:hAnsi="Arial" w:cs="Arial"/>
                <w:b/>
                <w:color w:val="000000" w:themeColor="text1"/>
                <w:sz w:val="24"/>
                <w:szCs w:val="24"/>
                <w:u w:val="single"/>
              </w:rPr>
              <w:t>publicació</w:t>
            </w:r>
            <w:r w:rsidR="0022766A" w:rsidRPr="00C1054E">
              <w:rPr>
                <w:rFonts w:ascii="Arial" w:hAnsi="Arial" w:cs="Arial"/>
                <w:color w:val="000000" w:themeColor="text1"/>
                <w:sz w:val="24"/>
                <w:szCs w:val="24"/>
              </w:rPr>
              <w:t xml:space="preserve">n </w:t>
            </w:r>
            <w:r w:rsidRPr="00C1054E">
              <w:rPr>
                <w:rFonts w:ascii="Arial" w:hAnsi="Arial" w:cs="Arial"/>
                <w:color w:val="000000" w:themeColor="text1"/>
                <w:sz w:val="24"/>
                <w:szCs w:val="24"/>
              </w:rPr>
              <w:t>y deroga todas las disposiciones que le sean contrarias.</w:t>
            </w:r>
          </w:p>
          <w:p w14:paraId="1B6A978E" w14:textId="77777777" w:rsidR="00B600C4" w:rsidRPr="00C1054E" w:rsidRDefault="00B600C4" w:rsidP="002C278F">
            <w:pPr>
              <w:jc w:val="both"/>
              <w:rPr>
                <w:rFonts w:ascii="Arial" w:eastAsia="Arial" w:hAnsi="Arial" w:cs="Arial"/>
                <w:b/>
                <w:color w:val="000000" w:themeColor="text1"/>
                <w:sz w:val="24"/>
                <w:szCs w:val="24"/>
                <w:u w:val="single"/>
              </w:rPr>
            </w:pPr>
          </w:p>
        </w:tc>
        <w:tc>
          <w:tcPr>
            <w:tcW w:w="2267" w:type="dxa"/>
          </w:tcPr>
          <w:p w14:paraId="6344E32C" w14:textId="03A085B5" w:rsidR="00B600C4" w:rsidRPr="00C1054E" w:rsidRDefault="0022766A" w:rsidP="00FC1FDA">
            <w:pPr>
              <w:spacing w:after="0" w:line="264" w:lineRule="auto"/>
              <w:jc w:val="both"/>
              <w:rPr>
                <w:rFonts w:ascii="Arial" w:eastAsia="Arial" w:hAnsi="Arial" w:cs="Arial"/>
                <w:color w:val="000000" w:themeColor="text1"/>
                <w:sz w:val="24"/>
                <w:szCs w:val="24"/>
              </w:rPr>
            </w:pPr>
            <w:r w:rsidRPr="00C1054E">
              <w:rPr>
                <w:rFonts w:ascii="Arial" w:eastAsia="Arial" w:hAnsi="Arial" w:cs="Arial"/>
                <w:color w:val="000000" w:themeColor="text1"/>
                <w:sz w:val="24"/>
                <w:szCs w:val="24"/>
              </w:rPr>
              <w:t xml:space="preserve">Se realiza un ajuste de numeración y de </w:t>
            </w:r>
            <w:r w:rsidR="00FC1FDA" w:rsidRPr="00C1054E">
              <w:rPr>
                <w:rFonts w:ascii="Arial" w:eastAsia="Arial" w:hAnsi="Arial" w:cs="Arial"/>
                <w:color w:val="000000" w:themeColor="text1"/>
                <w:sz w:val="24"/>
                <w:szCs w:val="24"/>
              </w:rPr>
              <w:t xml:space="preserve">precisión. </w:t>
            </w:r>
          </w:p>
        </w:tc>
      </w:tr>
    </w:tbl>
    <w:p w14:paraId="7005FE4C" w14:textId="6D22FC3E" w:rsidR="00034741" w:rsidRPr="00C1054E" w:rsidRDefault="00034741" w:rsidP="00034741">
      <w:pPr>
        <w:jc w:val="both"/>
        <w:rPr>
          <w:rFonts w:ascii="Arial" w:hAnsi="Arial" w:cs="Arial"/>
          <w:color w:val="000000" w:themeColor="text1"/>
          <w:sz w:val="24"/>
          <w:szCs w:val="24"/>
        </w:rPr>
      </w:pPr>
    </w:p>
    <w:p w14:paraId="4779E97F" w14:textId="606DD3BA" w:rsidR="00E8758C" w:rsidRPr="00C1054E" w:rsidRDefault="00A40A78" w:rsidP="00E8758C">
      <w:pPr>
        <w:jc w:val="both"/>
        <w:rPr>
          <w:rFonts w:ascii="Arial" w:hAnsi="Arial" w:cs="Arial"/>
          <w:color w:val="000000" w:themeColor="text1"/>
          <w:sz w:val="24"/>
          <w:szCs w:val="24"/>
        </w:rPr>
      </w:pPr>
      <w:r w:rsidRPr="00C1054E">
        <w:rPr>
          <w:rFonts w:ascii="Arial" w:hAnsi="Arial" w:cs="Arial"/>
          <w:color w:val="000000" w:themeColor="text1"/>
          <w:sz w:val="24"/>
          <w:szCs w:val="24"/>
        </w:rPr>
        <w:t>Los ajustes hechos corresponde</w:t>
      </w:r>
      <w:r w:rsidR="003E4E16" w:rsidRPr="00C1054E">
        <w:rPr>
          <w:rFonts w:ascii="Arial" w:hAnsi="Arial" w:cs="Arial"/>
          <w:color w:val="000000" w:themeColor="text1"/>
          <w:sz w:val="24"/>
          <w:szCs w:val="24"/>
        </w:rPr>
        <w:t xml:space="preserve">n a modificaciones de redacción y precisión del </w:t>
      </w:r>
      <w:r w:rsidR="00566E34" w:rsidRPr="00C1054E">
        <w:rPr>
          <w:rFonts w:ascii="Arial" w:hAnsi="Arial" w:cs="Arial"/>
          <w:color w:val="000000" w:themeColor="text1"/>
          <w:sz w:val="24"/>
          <w:szCs w:val="24"/>
        </w:rPr>
        <w:t xml:space="preserve">título y el </w:t>
      </w:r>
      <w:r w:rsidR="003E4E16" w:rsidRPr="00C1054E">
        <w:rPr>
          <w:rFonts w:ascii="Arial" w:hAnsi="Arial" w:cs="Arial"/>
          <w:color w:val="000000" w:themeColor="text1"/>
          <w:sz w:val="24"/>
          <w:szCs w:val="24"/>
        </w:rPr>
        <w:t xml:space="preserve">objeto del </w:t>
      </w:r>
      <w:r w:rsidRPr="00C1054E">
        <w:rPr>
          <w:rFonts w:ascii="Arial" w:hAnsi="Arial" w:cs="Arial"/>
          <w:color w:val="000000" w:themeColor="text1"/>
          <w:sz w:val="24"/>
          <w:szCs w:val="24"/>
        </w:rPr>
        <w:t>proyecto</w:t>
      </w:r>
      <w:r w:rsidR="006331C9" w:rsidRPr="00C1054E">
        <w:rPr>
          <w:rFonts w:ascii="Arial" w:hAnsi="Arial" w:cs="Arial"/>
          <w:color w:val="000000" w:themeColor="text1"/>
          <w:sz w:val="24"/>
          <w:szCs w:val="24"/>
        </w:rPr>
        <w:t>, así como la inclusión de observaciones hechas por el ministerio de trabajo</w:t>
      </w:r>
      <w:r w:rsidR="00B75A72" w:rsidRPr="00C1054E">
        <w:rPr>
          <w:rFonts w:ascii="Arial" w:hAnsi="Arial" w:cs="Arial"/>
          <w:color w:val="000000" w:themeColor="text1"/>
          <w:sz w:val="24"/>
          <w:szCs w:val="24"/>
        </w:rPr>
        <w:t xml:space="preserve"> en el artículo segundo</w:t>
      </w:r>
      <w:r w:rsidRPr="00C1054E">
        <w:rPr>
          <w:rFonts w:ascii="Arial" w:hAnsi="Arial" w:cs="Arial"/>
          <w:color w:val="000000" w:themeColor="text1"/>
          <w:sz w:val="24"/>
          <w:szCs w:val="24"/>
        </w:rPr>
        <w:t xml:space="preserve">. </w:t>
      </w:r>
    </w:p>
    <w:p w14:paraId="70606401" w14:textId="3CE9679C" w:rsidR="00D867C3" w:rsidRPr="00C1054E" w:rsidRDefault="00D867C3" w:rsidP="00E8758C">
      <w:pPr>
        <w:jc w:val="both"/>
        <w:rPr>
          <w:rFonts w:ascii="Arial" w:hAnsi="Arial" w:cs="Arial"/>
          <w:color w:val="000000" w:themeColor="text1"/>
          <w:sz w:val="24"/>
          <w:szCs w:val="24"/>
        </w:rPr>
      </w:pPr>
    </w:p>
    <w:p w14:paraId="4E68E1CF" w14:textId="77777777" w:rsidR="00034741" w:rsidRPr="00C1054E" w:rsidRDefault="00034741" w:rsidP="00E8758C">
      <w:pPr>
        <w:numPr>
          <w:ilvl w:val="0"/>
          <w:numId w:val="29"/>
        </w:numPr>
        <w:pBdr>
          <w:top w:val="nil"/>
          <w:left w:val="nil"/>
          <w:bottom w:val="nil"/>
          <w:right w:val="nil"/>
          <w:between w:val="nil"/>
        </w:pBdr>
        <w:spacing w:after="0" w:line="240" w:lineRule="auto"/>
        <w:jc w:val="both"/>
        <w:rPr>
          <w:rFonts w:ascii="Arial" w:hAnsi="Arial" w:cs="Arial"/>
          <w:b/>
          <w:color w:val="000000" w:themeColor="text1"/>
          <w:sz w:val="24"/>
          <w:szCs w:val="24"/>
        </w:rPr>
      </w:pPr>
      <w:r w:rsidRPr="00C1054E">
        <w:rPr>
          <w:rFonts w:ascii="Arial" w:hAnsi="Arial" w:cs="Arial"/>
          <w:b/>
          <w:color w:val="000000" w:themeColor="text1"/>
          <w:sz w:val="24"/>
          <w:szCs w:val="24"/>
        </w:rPr>
        <w:t>POSIBLES CONFLICTOS DE INTERÉS</w:t>
      </w:r>
    </w:p>
    <w:p w14:paraId="0E13731F" w14:textId="77777777" w:rsidR="00186014" w:rsidRPr="00C1054E" w:rsidRDefault="00034741" w:rsidP="00034741">
      <w:pPr>
        <w:pStyle w:val="Ttulo1"/>
        <w:tabs>
          <w:tab w:val="left" w:pos="822"/>
        </w:tabs>
        <w:jc w:val="both"/>
        <w:rPr>
          <w:rFonts w:ascii="Arial" w:hAnsi="Arial" w:cs="Arial"/>
          <w:b w:val="0"/>
          <w:color w:val="000000" w:themeColor="text1"/>
          <w:sz w:val="24"/>
          <w:szCs w:val="24"/>
        </w:rPr>
      </w:pPr>
      <w:r w:rsidRPr="00C1054E">
        <w:rPr>
          <w:rFonts w:ascii="Arial" w:hAnsi="Arial" w:cs="Arial"/>
          <w:b w:val="0"/>
          <w:color w:val="000000" w:themeColor="text1"/>
          <w:sz w:val="24"/>
          <w:szCs w:val="24"/>
        </w:rPr>
        <w:t xml:space="preserve">Con base en el artículo 3º de la Ley 2003 de 2019, según el cual </w:t>
      </w:r>
      <w:r w:rsidRPr="00C1054E">
        <w:rPr>
          <w:rFonts w:ascii="Arial" w:hAnsi="Arial" w:cs="Arial"/>
          <w:b w:val="0"/>
          <w:i/>
          <w:color w:val="000000" w:themeColor="text1"/>
          <w:sz w:val="24"/>
          <w:szCs w:val="24"/>
        </w:rPr>
        <w:t>“El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w:t>
      </w:r>
      <w:r w:rsidRPr="00C1054E">
        <w:rPr>
          <w:rFonts w:ascii="Arial" w:hAnsi="Arial" w:cs="Arial"/>
          <w:b w:val="0"/>
          <w:color w:val="000000" w:themeColor="text1"/>
          <w:sz w:val="24"/>
          <w:szCs w:val="24"/>
        </w:rPr>
        <w:t xml:space="preserve">. </w:t>
      </w:r>
    </w:p>
    <w:p w14:paraId="5C426995" w14:textId="52C5EC9F" w:rsidR="00034741" w:rsidRPr="00C1054E" w:rsidRDefault="00034741" w:rsidP="00034741">
      <w:pPr>
        <w:pStyle w:val="Ttulo1"/>
        <w:tabs>
          <w:tab w:val="left" w:pos="822"/>
        </w:tabs>
        <w:jc w:val="both"/>
        <w:rPr>
          <w:rFonts w:ascii="Arial" w:hAnsi="Arial" w:cs="Arial"/>
          <w:b w:val="0"/>
          <w:color w:val="000000" w:themeColor="text1"/>
          <w:sz w:val="24"/>
          <w:szCs w:val="24"/>
        </w:rPr>
      </w:pPr>
      <w:r w:rsidRPr="00C1054E">
        <w:rPr>
          <w:rFonts w:ascii="Arial" w:hAnsi="Arial" w:cs="Arial"/>
          <w:b w:val="0"/>
          <w:color w:val="000000" w:themeColor="text1"/>
          <w:sz w:val="24"/>
          <w:szCs w:val="24"/>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14:paraId="7AD95EE1" w14:textId="77777777" w:rsidR="00034741" w:rsidRPr="00C1054E" w:rsidRDefault="00034741" w:rsidP="00034741">
      <w:pPr>
        <w:spacing w:before="280" w:after="280"/>
        <w:ind w:firstLine="720"/>
        <w:jc w:val="both"/>
        <w:rPr>
          <w:rFonts w:ascii="Arial" w:hAnsi="Arial" w:cs="Arial"/>
          <w:i/>
          <w:color w:val="000000" w:themeColor="text1"/>
          <w:sz w:val="24"/>
          <w:szCs w:val="24"/>
        </w:rPr>
      </w:pPr>
      <w:r w:rsidRPr="00C1054E">
        <w:rPr>
          <w:rFonts w:ascii="Arial" w:hAnsi="Arial" w:cs="Arial"/>
          <w:color w:val="000000" w:themeColor="text1"/>
          <w:sz w:val="24"/>
          <w:szCs w:val="24"/>
        </w:rPr>
        <w:t>“</w:t>
      </w:r>
      <w:r w:rsidRPr="00C1054E">
        <w:rPr>
          <w:rFonts w:ascii="Arial" w:hAnsi="Arial" w:cs="Arial"/>
          <w:i/>
          <w:color w:val="000000" w:themeColor="text1"/>
          <w:sz w:val="24"/>
          <w:szCs w:val="24"/>
        </w:rPr>
        <w:t>Artículo 1º. El artículo </w:t>
      </w:r>
      <w:hyperlink r:id="rId13" w:anchor="286">
        <w:r w:rsidRPr="00C1054E">
          <w:rPr>
            <w:rFonts w:ascii="Arial" w:hAnsi="Arial" w:cs="Arial"/>
            <w:i/>
            <w:color w:val="000000" w:themeColor="text1"/>
            <w:sz w:val="24"/>
            <w:szCs w:val="24"/>
            <w:u w:val="single"/>
          </w:rPr>
          <w:t>286</w:t>
        </w:r>
      </w:hyperlink>
      <w:r w:rsidRPr="00C1054E">
        <w:rPr>
          <w:rFonts w:ascii="Arial" w:hAnsi="Arial" w:cs="Arial"/>
          <w:i/>
          <w:color w:val="000000" w:themeColor="text1"/>
          <w:sz w:val="24"/>
          <w:szCs w:val="24"/>
        </w:rPr>
        <w:t> de la Ley 5 de 1992 quedará así:</w:t>
      </w:r>
    </w:p>
    <w:p w14:paraId="0019D135" w14:textId="77777777" w:rsidR="00034741" w:rsidRPr="00C1054E" w:rsidRDefault="00034741" w:rsidP="00034741">
      <w:pPr>
        <w:spacing w:before="280" w:after="280"/>
        <w:ind w:firstLine="720"/>
        <w:jc w:val="both"/>
        <w:rPr>
          <w:rFonts w:ascii="Arial" w:hAnsi="Arial" w:cs="Arial"/>
          <w:i/>
          <w:color w:val="000000" w:themeColor="text1"/>
          <w:sz w:val="24"/>
          <w:szCs w:val="24"/>
        </w:rPr>
      </w:pPr>
      <w:r w:rsidRPr="00C1054E">
        <w:rPr>
          <w:rFonts w:ascii="Arial" w:hAnsi="Arial" w:cs="Arial"/>
          <w:i/>
          <w:color w:val="000000" w:themeColor="text1"/>
          <w:sz w:val="24"/>
          <w:szCs w:val="24"/>
        </w:rPr>
        <w:t>(…)</w:t>
      </w:r>
    </w:p>
    <w:p w14:paraId="797B8E48" w14:textId="77777777" w:rsidR="00034741" w:rsidRPr="00C1054E" w:rsidRDefault="00034741" w:rsidP="00034741">
      <w:pPr>
        <w:spacing w:before="280" w:after="280"/>
        <w:ind w:left="720"/>
        <w:jc w:val="both"/>
        <w:rPr>
          <w:rFonts w:ascii="Arial" w:hAnsi="Arial" w:cs="Arial"/>
          <w:i/>
          <w:color w:val="000000" w:themeColor="text1"/>
          <w:sz w:val="24"/>
          <w:szCs w:val="24"/>
        </w:rPr>
      </w:pPr>
      <w:r w:rsidRPr="00C1054E">
        <w:rPr>
          <w:rFonts w:ascii="Arial" w:hAnsi="Arial" w:cs="Arial"/>
          <w:i/>
          <w:color w:val="000000" w:themeColor="text1"/>
          <w:sz w:val="24"/>
          <w:szCs w:val="24"/>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140E4A8F" w14:textId="77777777" w:rsidR="00034741" w:rsidRPr="00C1054E" w:rsidRDefault="00034741" w:rsidP="00034741">
      <w:pPr>
        <w:spacing w:before="280" w:after="280"/>
        <w:ind w:left="720"/>
        <w:jc w:val="both"/>
        <w:rPr>
          <w:rFonts w:ascii="Arial" w:hAnsi="Arial" w:cs="Arial"/>
          <w:i/>
          <w:color w:val="000000" w:themeColor="text1"/>
          <w:sz w:val="24"/>
          <w:szCs w:val="24"/>
        </w:rPr>
      </w:pPr>
      <w:r w:rsidRPr="00C1054E">
        <w:rPr>
          <w:rFonts w:ascii="Arial" w:hAnsi="Arial" w:cs="Arial"/>
          <w:i/>
          <w:color w:val="000000" w:themeColor="text1"/>
          <w:sz w:val="24"/>
          <w:szCs w:val="24"/>
        </w:rPr>
        <w:t>b) Beneficio actual: aquel que efectivamente se configura en las circunstancias presentes y existentes al momento en el que el congresista participa de la decisión.</w:t>
      </w:r>
    </w:p>
    <w:p w14:paraId="034F0E85" w14:textId="77777777" w:rsidR="00034741" w:rsidRPr="00C1054E" w:rsidRDefault="00034741" w:rsidP="00034741">
      <w:pPr>
        <w:spacing w:before="280" w:after="280"/>
        <w:ind w:left="720"/>
        <w:jc w:val="both"/>
        <w:rPr>
          <w:rFonts w:ascii="Arial" w:hAnsi="Arial" w:cs="Arial"/>
          <w:i/>
          <w:color w:val="000000" w:themeColor="text1"/>
          <w:sz w:val="24"/>
          <w:szCs w:val="24"/>
        </w:rPr>
      </w:pPr>
      <w:r w:rsidRPr="00C1054E">
        <w:rPr>
          <w:rFonts w:ascii="Arial" w:hAnsi="Arial" w:cs="Arial"/>
          <w:i/>
          <w:color w:val="000000" w:themeColor="text1"/>
          <w:sz w:val="24"/>
          <w:szCs w:val="24"/>
        </w:rPr>
        <w:lastRenderedPageBreak/>
        <w:t>c) Beneficio directo: aquel que se produzca de forma específica respecto del congresista, de su cónyuge, compañero o compañera permanente, o parientes dentro del segundo grado de consanguinidad, segundo de afinidad o primero civil.</w:t>
      </w:r>
    </w:p>
    <w:p w14:paraId="0AECAB22" w14:textId="77777777" w:rsidR="00034741" w:rsidRPr="00C1054E" w:rsidRDefault="00034741" w:rsidP="00034741">
      <w:pPr>
        <w:spacing w:before="280" w:after="280"/>
        <w:ind w:left="720"/>
        <w:jc w:val="both"/>
        <w:rPr>
          <w:rFonts w:ascii="Arial" w:hAnsi="Arial" w:cs="Arial"/>
          <w:i/>
          <w:color w:val="000000" w:themeColor="text1"/>
          <w:sz w:val="24"/>
          <w:szCs w:val="24"/>
        </w:rPr>
      </w:pPr>
      <w:r w:rsidRPr="00C1054E">
        <w:rPr>
          <w:rFonts w:ascii="Arial" w:hAnsi="Arial" w:cs="Arial"/>
          <w:i/>
          <w:color w:val="000000" w:themeColor="text1"/>
          <w:sz w:val="24"/>
          <w:szCs w:val="24"/>
        </w:rPr>
        <w:t>Para todos los efectos se entiende que no hay conflicto de interés en las siguientes circunstancias:</w:t>
      </w:r>
    </w:p>
    <w:p w14:paraId="346DEE47" w14:textId="77777777" w:rsidR="00034741" w:rsidRPr="00C1054E" w:rsidRDefault="00034741" w:rsidP="00034741">
      <w:pPr>
        <w:spacing w:before="280" w:after="280"/>
        <w:ind w:left="720"/>
        <w:jc w:val="both"/>
        <w:rPr>
          <w:rFonts w:ascii="Arial" w:hAnsi="Arial" w:cs="Arial"/>
          <w:b/>
          <w:i/>
          <w:color w:val="000000" w:themeColor="text1"/>
          <w:sz w:val="24"/>
          <w:szCs w:val="24"/>
          <w:u w:val="single"/>
        </w:rPr>
      </w:pPr>
      <w:r w:rsidRPr="00C1054E">
        <w:rPr>
          <w:rFonts w:ascii="Arial" w:hAnsi="Arial" w:cs="Arial"/>
          <w:b/>
          <w:i/>
          <w:color w:val="000000" w:themeColor="text1"/>
          <w:sz w:val="24"/>
          <w:szCs w:val="24"/>
          <w:u w:val="single"/>
        </w:rPr>
        <w:t>a) Cuando el congresista participe, discuta, vote un proyecto de ley o de acto legislativo que otorgue beneficios o cargos de carácter general, es decir cuando el interés del congresista coincide o se fusione con los intereses de los electores.</w:t>
      </w:r>
    </w:p>
    <w:p w14:paraId="785AE9BB" w14:textId="77777777" w:rsidR="00034741" w:rsidRPr="00C1054E" w:rsidRDefault="00034741" w:rsidP="00034741">
      <w:pPr>
        <w:spacing w:before="280" w:after="280"/>
        <w:ind w:left="708" w:firstLine="12"/>
        <w:jc w:val="both"/>
        <w:rPr>
          <w:rFonts w:ascii="Arial" w:hAnsi="Arial" w:cs="Arial"/>
          <w:i/>
          <w:color w:val="000000" w:themeColor="text1"/>
          <w:sz w:val="24"/>
          <w:szCs w:val="24"/>
        </w:rPr>
      </w:pPr>
      <w:r w:rsidRPr="00C1054E">
        <w:rPr>
          <w:rFonts w:ascii="Arial" w:hAnsi="Arial" w:cs="Arial"/>
          <w:i/>
          <w:color w:val="000000" w:themeColor="text1"/>
          <w:sz w:val="24"/>
          <w:szCs w:val="24"/>
        </w:rPr>
        <w:t>b) Cuando el beneficio podría o no configurarse para el congresista en el futuro.</w:t>
      </w:r>
    </w:p>
    <w:p w14:paraId="52C5949E" w14:textId="77777777" w:rsidR="00034741" w:rsidRPr="00C1054E" w:rsidRDefault="00034741" w:rsidP="00034741">
      <w:pPr>
        <w:spacing w:before="280" w:after="280"/>
        <w:ind w:left="720"/>
        <w:jc w:val="both"/>
        <w:rPr>
          <w:rFonts w:ascii="Arial" w:hAnsi="Arial" w:cs="Arial"/>
          <w:i/>
          <w:color w:val="000000" w:themeColor="text1"/>
          <w:sz w:val="24"/>
          <w:szCs w:val="24"/>
        </w:rPr>
      </w:pPr>
      <w:r w:rsidRPr="00C1054E">
        <w:rPr>
          <w:rFonts w:ascii="Arial" w:hAnsi="Arial" w:cs="Arial"/>
          <w:i/>
          <w:color w:val="000000" w:themeColor="text1"/>
          <w:sz w:val="24"/>
          <w:szCs w:val="24"/>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00E3665E" w14:textId="77777777" w:rsidR="00034741" w:rsidRPr="00C1054E" w:rsidRDefault="00034741" w:rsidP="00034741">
      <w:pPr>
        <w:spacing w:before="280" w:after="280"/>
        <w:ind w:left="720"/>
        <w:jc w:val="both"/>
        <w:rPr>
          <w:rFonts w:ascii="Arial" w:hAnsi="Arial" w:cs="Arial"/>
          <w:i/>
          <w:color w:val="000000" w:themeColor="text1"/>
          <w:sz w:val="24"/>
          <w:szCs w:val="24"/>
        </w:rPr>
      </w:pPr>
      <w:r w:rsidRPr="00C1054E">
        <w:rPr>
          <w:rFonts w:ascii="Arial" w:hAnsi="Arial" w:cs="Arial"/>
          <w:i/>
          <w:color w:val="000000" w:themeColor="text1"/>
          <w:sz w:val="24"/>
          <w:szCs w:val="24"/>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2EDAC604" w14:textId="77777777" w:rsidR="00034741" w:rsidRPr="00C1054E" w:rsidRDefault="00034741" w:rsidP="00034741">
      <w:pPr>
        <w:spacing w:before="280" w:after="280"/>
        <w:ind w:left="720"/>
        <w:jc w:val="both"/>
        <w:rPr>
          <w:rFonts w:ascii="Arial" w:hAnsi="Arial" w:cs="Arial"/>
          <w:i/>
          <w:color w:val="000000" w:themeColor="text1"/>
          <w:sz w:val="24"/>
          <w:szCs w:val="24"/>
        </w:rPr>
      </w:pPr>
      <w:r w:rsidRPr="00C1054E">
        <w:rPr>
          <w:rFonts w:ascii="Arial" w:hAnsi="Arial" w:cs="Arial"/>
          <w:i/>
          <w:color w:val="000000" w:themeColor="text1"/>
          <w:sz w:val="24"/>
          <w:szCs w:val="24"/>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19EB6531" w14:textId="77777777" w:rsidR="00034741" w:rsidRPr="00C1054E" w:rsidRDefault="00034741" w:rsidP="00034741">
      <w:pPr>
        <w:spacing w:before="280" w:after="280"/>
        <w:ind w:left="720"/>
        <w:jc w:val="both"/>
        <w:rPr>
          <w:rFonts w:ascii="Arial" w:hAnsi="Arial" w:cs="Arial"/>
          <w:i/>
          <w:color w:val="000000" w:themeColor="text1"/>
          <w:sz w:val="24"/>
          <w:szCs w:val="24"/>
        </w:rPr>
      </w:pPr>
      <w:r w:rsidRPr="00C1054E">
        <w:rPr>
          <w:rFonts w:ascii="Arial" w:hAnsi="Arial" w:cs="Arial"/>
          <w:i/>
          <w:color w:val="000000" w:themeColor="text1"/>
          <w:sz w:val="24"/>
          <w:szCs w:val="24"/>
        </w:rPr>
        <w:t xml:space="preserve">f) Cuando el congresista participa en la elección de otros servidores públicos mediante el voto secreto. Se exceptúan los casos en que se presenten inhabilidades referidas al parentesco con los candidatos (...)”. </w:t>
      </w:r>
      <w:r w:rsidRPr="00C1054E">
        <w:rPr>
          <w:rFonts w:ascii="Arial" w:hAnsi="Arial" w:cs="Arial"/>
          <w:color w:val="000000" w:themeColor="text1"/>
          <w:sz w:val="24"/>
          <w:szCs w:val="24"/>
        </w:rPr>
        <w:t xml:space="preserve">(Subrayado y negrilla fuera de texto). </w:t>
      </w:r>
    </w:p>
    <w:p w14:paraId="7695D0B1" w14:textId="77777777" w:rsidR="00034741" w:rsidRPr="00C1054E" w:rsidRDefault="00034741" w:rsidP="00034741">
      <w:pPr>
        <w:jc w:val="both"/>
        <w:rPr>
          <w:rFonts w:ascii="Arial" w:hAnsi="Arial" w:cs="Arial"/>
          <w:color w:val="000000" w:themeColor="text1"/>
          <w:sz w:val="24"/>
          <w:szCs w:val="24"/>
        </w:rPr>
      </w:pPr>
      <w:r w:rsidRPr="00C1054E">
        <w:rPr>
          <w:rFonts w:ascii="Arial" w:hAnsi="Arial" w:cs="Arial"/>
          <w:color w:val="000000" w:themeColor="text1"/>
          <w:sz w:val="24"/>
          <w:szCs w:val="24"/>
        </w:rP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w:t>
      </w:r>
      <w:r w:rsidRPr="00C1054E">
        <w:rPr>
          <w:rFonts w:ascii="Arial" w:hAnsi="Arial" w:cs="Arial"/>
          <w:color w:val="000000" w:themeColor="text1"/>
          <w:sz w:val="24"/>
          <w:szCs w:val="24"/>
        </w:rPr>
        <w:lastRenderedPageBreak/>
        <w:t>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3755546C" w14:textId="157F050C" w:rsidR="00034741" w:rsidRPr="00C1054E" w:rsidRDefault="00034741" w:rsidP="00034741">
      <w:pPr>
        <w:jc w:val="both"/>
        <w:rPr>
          <w:rFonts w:ascii="Arial" w:hAnsi="Arial" w:cs="Arial"/>
          <w:color w:val="000000" w:themeColor="text1"/>
          <w:sz w:val="24"/>
          <w:szCs w:val="24"/>
        </w:rPr>
      </w:pPr>
    </w:p>
    <w:p w14:paraId="1C43DDA3" w14:textId="1E94E47F" w:rsidR="00034741" w:rsidRPr="00C1054E" w:rsidRDefault="00AA0F18" w:rsidP="00034741">
      <w:pPr>
        <w:pBdr>
          <w:top w:val="nil"/>
          <w:left w:val="nil"/>
          <w:bottom w:val="nil"/>
          <w:right w:val="nil"/>
          <w:between w:val="nil"/>
        </w:pBdr>
        <w:jc w:val="center"/>
        <w:rPr>
          <w:rFonts w:ascii="Arial" w:hAnsi="Arial" w:cs="Arial"/>
          <w:b/>
          <w:color w:val="000000" w:themeColor="text1"/>
          <w:sz w:val="24"/>
          <w:szCs w:val="24"/>
        </w:rPr>
      </w:pPr>
      <w:bookmarkStart w:id="2" w:name="_1fob9te" w:colFirst="0" w:colLast="0"/>
      <w:bookmarkEnd w:id="2"/>
      <w:r w:rsidRPr="00C1054E">
        <w:rPr>
          <w:rFonts w:ascii="Arial" w:hAnsi="Arial" w:cs="Arial"/>
          <w:b/>
          <w:color w:val="000000" w:themeColor="text1"/>
          <w:sz w:val="24"/>
          <w:szCs w:val="24"/>
        </w:rPr>
        <w:t>PROPOSICIÓ</w:t>
      </w:r>
      <w:r w:rsidR="00034741" w:rsidRPr="00C1054E">
        <w:rPr>
          <w:rFonts w:ascii="Arial" w:hAnsi="Arial" w:cs="Arial"/>
          <w:b/>
          <w:color w:val="000000" w:themeColor="text1"/>
          <w:sz w:val="24"/>
          <w:szCs w:val="24"/>
        </w:rPr>
        <w:t>N</w:t>
      </w:r>
    </w:p>
    <w:p w14:paraId="13947B3C" w14:textId="73CA5C03" w:rsidR="00070E7C" w:rsidRPr="00C1054E" w:rsidRDefault="00034741" w:rsidP="00070E7C">
      <w:pPr>
        <w:pBdr>
          <w:top w:val="nil"/>
          <w:left w:val="nil"/>
          <w:bottom w:val="nil"/>
          <w:right w:val="nil"/>
          <w:between w:val="nil"/>
        </w:pBdr>
        <w:jc w:val="both"/>
        <w:rPr>
          <w:rFonts w:ascii="Arial" w:hAnsi="Arial" w:cs="Arial"/>
          <w:color w:val="000000" w:themeColor="text1"/>
          <w:sz w:val="24"/>
          <w:szCs w:val="24"/>
        </w:rPr>
      </w:pPr>
      <w:r w:rsidRPr="00C1054E">
        <w:rPr>
          <w:rFonts w:ascii="Arial" w:hAnsi="Arial" w:cs="Arial"/>
          <w:color w:val="000000" w:themeColor="text1"/>
          <w:sz w:val="24"/>
          <w:szCs w:val="24"/>
        </w:rPr>
        <w:t>Con base en las anteriores consideraciones, presentamos ponencia positiv</w:t>
      </w:r>
      <w:r w:rsidR="00186014" w:rsidRPr="00C1054E">
        <w:rPr>
          <w:rFonts w:ascii="Arial" w:hAnsi="Arial" w:cs="Arial"/>
          <w:color w:val="000000" w:themeColor="text1"/>
          <w:sz w:val="24"/>
          <w:szCs w:val="24"/>
        </w:rPr>
        <w:t xml:space="preserve">a y solicitamos a la Comisión Séptima </w:t>
      </w:r>
      <w:r w:rsidRPr="00C1054E">
        <w:rPr>
          <w:rFonts w:ascii="Arial" w:hAnsi="Arial" w:cs="Arial"/>
          <w:color w:val="000000" w:themeColor="text1"/>
          <w:sz w:val="24"/>
          <w:szCs w:val="24"/>
        </w:rPr>
        <w:t>de la Cámara de Representantes, dar primer</w:t>
      </w:r>
      <w:r w:rsidR="00186014" w:rsidRPr="00C1054E">
        <w:rPr>
          <w:rFonts w:ascii="Arial" w:hAnsi="Arial" w:cs="Arial"/>
          <w:color w:val="000000" w:themeColor="text1"/>
          <w:sz w:val="24"/>
          <w:szCs w:val="24"/>
        </w:rPr>
        <w:t xml:space="preserve"> debate al Proyecto</w:t>
      </w:r>
      <w:r w:rsidR="00070E7C" w:rsidRPr="00C1054E">
        <w:rPr>
          <w:rFonts w:ascii="Arial" w:hAnsi="Arial" w:cs="Arial"/>
          <w:color w:val="000000" w:themeColor="text1"/>
          <w:sz w:val="24"/>
          <w:szCs w:val="24"/>
        </w:rPr>
        <w:t xml:space="preserve"> </w:t>
      </w:r>
      <w:r w:rsidR="00070E7C" w:rsidRPr="00C1054E">
        <w:rPr>
          <w:rFonts w:ascii="Arial" w:eastAsia="Arial" w:hAnsi="Arial" w:cs="Arial"/>
          <w:color w:val="000000" w:themeColor="text1"/>
          <w:sz w:val="24"/>
          <w:szCs w:val="24"/>
        </w:rPr>
        <w:t xml:space="preserve">de </w:t>
      </w:r>
      <w:r w:rsidR="003F743E" w:rsidRPr="00C1054E">
        <w:rPr>
          <w:rFonts w:ascii="Arial" w:eastAsia="Arial" w:hAnsi="Arial" w:cs="Arial"/>
          <w:color w:val="000000" w:themeColor="text1"/>
          <w:sz w:val="24"/>
          <w:szCs w:val="24"/>
        </w:rPr>
        <w:t>Ley No. 106 de 2022 Cámara “Por medio del cual se establece el ingreso base de cotización (IBC) de los independientes”</w:t>
      </w:r>
      <w:r w:rsidR="00070E7C" w:rsidRPr="00C1054E">
        <w:rPr>
          <w:rFonts w:ascii="Arial" w:eastAsia="Arial" w:hAnsi="Arial" w:cs="Arial"/>
          <w:color w:val="000000" w:themeColor="text1"/>
          <w:sz w:val="24"/>
          <w:szCs w:val="24"/>
        </w:rPr>
        <w:t>.</w:t>
      </w:r>
    </w:p>
    <w:p w14:paraId="4433D58E" w14:textId="77777777" w:rsidR="00070E7C" w:rsidRPr="00C1054E" w:rsidRDefault="00070E7C" w:rsidP="004D0639">
      <w:pPr>
        <w:pBdr>
          <w:top w:val="nil"/>
          <w:left w:val="nil"/>
          <w:bottom w:val="nil"/>
          <w:right w:val="nil"/>
          <w:between w:val="nil"/>
        </w:pBdr>
        <w:jc w:val="both"/>
        <w:rPr>
          <w:rFonts w:ascii="Arial" w:hAnsi="Arial" w:cs="Arial"/>
          <w:color w:val="000000" w:themeColor="text1"/>
          <w:sz w:val="24"/>
          <w:szCs w:val="24"/>
        </w:rPr>
      </w:pPr>
    </w:p>
    <w:p w14:paraId="4A5D0948" w14:textId="441D8896" w:rsidR="000F01CA" w:rsidRPr="00C1054E" w:rsidRDefault="000F01CA" w:rsidP="00B07DB6">
      <w:pPr>
        <w:pStyle w:val="Default"/>
        <w:ind w:left="-284" w:firstLine="284"/>
        <w:rPr>
          <w:rFonts w:ascii="Arial" w:eastAsiaTheme="minorEastAsia" w:hAnsi="Arial" w:cs="Arial"/>
          <w:color w:val="000000" w:themeColor="text1"/>
          <w:lang w:val="es-ES_tradnl"/>
        </w:rPr>
      </w:pPr>
      <w:r w:rsidRPr="00C1054E">
        <w:rPr>
          <w:rFonts w:ascii="Arial" w:eastAsiaTheme="minorEastAsia" w:hAnsi="Arial" w:cs="Arial"/>
          <w:color w:val="000000" w:themeColor="text1"/>
          <w:lang w:val="es-ES_tradnl"/>
        </w:rPr>
        <w:t xml:space="preserve">Atentamente, </w:t>
      </w:r>
    </w:p>
    <w:p w14:paraId="3C0DBCA2" w14:textId="760A5A08" w:rsidR="000F01CA" w:rsidRPr="00C1054E" w:rsidRDefault="000F01CA" w:rsidP="000F01CA">
      <w:pPr>
        <w:pStyle w:val="Default"/>
        <w:ind w:left="-284"/>
        <w:rPr>
          <w:rFonts w:ascii="Arial" w:eastAsiaTheme="minorEastAsia" w:hAnsi="Arial" w:cs="Arial"/>
          <w:color w:val="000000" w:themeColor="text1"/>
          <w:lang w:val="es-ES_tradnl"/>
        </w:rPr>
      </w:pPr>
    </w:p>
    <w:p w14:paraId="062CD42E" w14:textId="77777777" w:rsidR="000F01CA" w:rsidRPr="00C1054E" w:rsidRDefault="000F01CA" w:rsidP="000F01CA">
      <w:pPr>
        <w:pStyle w:val="Default"/>
        <w:ind w:left="-284"/>
        <w:rPr>
          <w:rFonts w:ascii="Arial" w:eastAsiaTheme="minorEastAsia" w:hAnsi="Arial" w:cs="Arial"/>
          <w:color w:val="000000" w:themeColor="text1"/>
          <w:lang w:val="es-ES_tradnl"/>
        </w:rPr>
      </w:pPr>
    </w:p>
    <w:p w14:paraId="6E39DFED" w14:textId="17869125" w:rsidR="000F01CA" w:rsidRPr="00C1054E" w:rsidRDefault="000F01CA" w:rsidP="000F01CA">
      <w:pPr>
        <w:autoSpaceDE w:val="0"/>
        <w:autoSpaceDN w:val="0"/>
        <w:adjustRightInd w:val="0"/>
        <w:spacing w:after="0" w:line="240" w:lineRule="auto"/>
        <w:jc w:val="both"/>
        <w:rPr>
          <w:rFonts w:ascii="Arial" w:hAnsi="Arial" w:cs="Arial"/>
          <w:color w:val="000000" w:themeColor="text1"/>
          <w:sz w:val="24"/>
          <w:szCs w:val="24"/>
          <w:lang w:val="es-ES"/>
        </w:rPr>
      </w:pPr>
    </w:p>
    <w:p w14:paraId="207B0445" w14:textId="77777777" w:rsidR="003707F0" w:rsidRPr="00C1054E" w:rsidRDefault="003707F0" w:rsidP="000F01CA">
      <w:pPr>
        <w:autoSpaceDE w:val="0"/>
        <w:autoSpaceDN w:val="0"/>
        <w:adjustRightInd w:val="0"/>
        <w:spacing w:after="0" w:line="240" w:lineRule="auto"/>
        <w:jc w:val="both"/>
        <w:rPr>
          <w:rFonts w:ascii="Arial" w:hAnsi="Arial" w:cs="Arial"/>
          <w:color w:val="000000" w:themeColor="text1"/>
          <w:sz w:val="24"/>
          <w:szCs w:val="24"/>
          <w:lang w:val="es-ES"/>
        </w:rPr>
      </w:pPr>
    </w:p>
    <w:p w14:paraId="3D507FF5" w14:textId="6A9ABD57" w:rsidR="000F01CA" w:rsidRPr="00C1054E" w:rsidRDefault="000F01CA" w:rsidP="000F01CA">
      <w:pPr>
        <w:pStyle w:val="Sinespaciado"/>
        <w:spacing w:line="276" w:lineRule="auto"/>
        <w:jc w:val="both"/>
        <w:rPr>
          <w:rFonts w:ascii="Arial" w:hAnsi="Arial" w:cs="Arial"/>
          <w:color w:val="000000" w:themeColor="text1"/>
        </w:rPr>
      </w:pPr>
    </w:p>
    <w:p w14:paraId="1AC0CF63" w14:textId="30026494" w:rsidR="000F01CA" w:rsidRPr="00C1054E" w:rsidRDefault="003F743E" w:rsidP="000F01CA">
      <w:pPr>
        <w:pStyle w:val="Sinespaciado"/>
        <w:rPr>
          <w:rFonts w:ascii="Arial" w:hAnsi="Arial" w:cs="Arial"/>
          <w:b/>
          <w:color w:val="000000" w:themeColor="text1"/>
        </w:rPr>
      </w:pPr>
      <w:r w:rsidRPr="00C1054E">
        <w:rPr>
          <w:rFonts w:ascii="Arial" w:hAnsi="Arial" w:cs="Arial"/>
          <w:b/>
          <w:color w:val="000000" w:themeColor="text1"/>
        </w:rPr>
        <w:t>HÉCTOR DAVID CHAPARRO</w:t>
      </w:r>
      <w:r w:rsidRPr="00C1054E">
        <w:rPr>
          <w:rFonts w:ascii="Arial" w:hAnsi="Arial" w:cs="Arial"/>
          <w:b/>
          <w:color w:val="000000" w:themeColor="text1"/>
        </w:rPr>
        <w:tab/>
      </w:r>
      <w:r w:rsidRPr="00C1054E">
        <w:rPr>
          <w:rFonts w:ascii="Arial" w:hAnsi="Arial" w:cs="Arial"/>
          <w:b/>
          <w:color w:val="000000" w:themeColor="text1"/>
        </w:rPr>
        <w:tab/>
      </w:r>
      <w:r w:rsidRPr="00C1054E">
        <w:rPr>
          <w:rFonts w:ascii="Arial" w:hAnsi="Arial" w:cs="Arial"/>
          <w:b/>
          <w:color w:val="000000" w:themeColor="text1"/>
        </w:rPr>
        <w:tab/>
        <w:t xml:space="preserve">VÍCTOR MANUEL SALCEDO </w:t>
      </w:r>
    </w:p>
    <w:p w14:paraId="2A73F7EB" w14:textId="06116FBE" w:rsidR="000F01CA" w:rsidRPr="00C1054E" w:rsidRDefault="000F01CA" w:rsidP="000F01CA">
      <w:pPr>
        <w:pStyle w:val="Sinespaciado"/>
        <w:rPr>
          <w:rFonts w:ascii="Arial" w:hAnsi="Arial" w:cs="Arial"/>
          <w:color w:val="000000" w:themeColor="text1"/>
        </w:rPr>
      </w:pPr>
      <w:r w:rsidRPr="00C1054E">
        <w:rPr>
          <w:rFonts w:ascii="Arial" w:hAnsi="Arial" w:cs="Arial"/>
          <w:color w:val="000000" w:themeColor="text1"/>
        </w:rPr>
        <w:t>Representante a la Cámara</w:t>
      </w:r>
      <w:r w:rsidRPr="00C1054E">
        <w:rPr>
          <w:rFonts w:ascii="Arial" w:hAnsi="Arial" w:cs="Arial"/>
          <w:color w:val="000000" w:themeColor="text1"/>
        </w:rPr>
        <w:tab/>
      </w:r>
      <w:r w:rsidRPr="00C1054E">
        <w:rPr>
          <w:rFonts w:ascii="Arial" w:hAnsi="Arial" w:cs="Arial"/>
          <w:color w:val="000000" w:themeColor="text1"/>
        </w:rPr>
        <w:tab/>
      </w:r>
      <w:r w:rsidRPr="00C1054E">
        <w:rPr>
          <w:rFonts w:ascii="Arial" w:hAnsi="Arial" w:cs="Arial"/>
          <w:color w:val="000000" w:themeColor="text1"/>
        </w:rPr>
        <w:tab/>
        <w:t xml:space="preserve">Representante a la Cámara </w:t>
      </w:r>
    </w:p>
    <w:p w14:paraId="56626C7E" w14:textId="65F889EA" w:rsidR="000F01CA" w:rsidRPr="00C1054E" w:rsidRDefault="005276A3" w:rsidP="000F01CA">
      <w:pPr>
        <w:pStyle w:val="Sinespaciado"/>
        <w:spacing w:line="276" w:lineRule="auto"/>
        <w:jc w:val="both"/>
        <w:rPr>
          <w:rFonts w:ascii="Arial" w:hAnsi="Arial" w:cs="Arial"/>
          <w:color w:val="000000" w:themeColor="text1"/>
        </w:rPr>
      </w:pPr>
      <w:r w:rsidRPr="00C1054E">
        <w:rPr>
          <w:rFonts w:ascii="Arial" w:hAnsi="Arial" w:cs="Arial"/>
          <w:color w:val="000000" w:themeColor="text1"/>
        </w:rPr>
        <w:t xml:space="preserve">Ponente </w:t>
      </w:r>
      <w:r w:rsidR="000F01CA" w:rsidRPr="00C1054E">
        <w:rPr>
          <w:rFonts w:ascii="Arial" w:hAnsi="Arial" w:cs="Arial"/>
          <w:color w:val="000000" w:themeColor="text1"/>
        </w:rPr>
        <w:t xml:space="preserve">Coordinador </w:t>
      </w:r>
      <w:r w:rsidR="000F01CA" w:rsidRPr="00C1054E">
        <w:rPr>
          <w:rFonts w:ascii="Arial" w:hAnsi="Arial" w:cs="Arial"/>
          <w:color w:val="000000" w:themeColor="text1"/>
        </w:rPr>
        <w:tab/>
      </w:r>
      <w:r w:rsidR="000F01CA" w:rsidRPr="00C1054E">
        <w:rPr>
          <w:rFonts w:ascii="Arial" w:hAnsi="Arial" w:cs="Arial"/>
          <w:color w:val="000000" w:themeColor="text1"/>
        </w:rPr>
        <w:tab/>
      </w:r>
      <w:r w:rsidR="000F01CA" w:rsidRPr="00C1054E">
        <w:rPr>
          <w:rFonts w:ascii="Arial" w:hAnsi="Arial" w:cs="Arial"/>
          <w:color w:val="000000" w:themeColor="text1"/>
        </w:rPr>
        <w:tab/>
      </w:r>
      <w:r w:rsidR="003707F0" w:rsidRPr="00C1054E">
        <w:rPr>
          <w:rFonts w:ascii="Arial" w:hAnsi="Arial" w:cs="Arial"/>
          <w:color w:val="000000" w:themeColor="text1"/>
        </w:rPr>
        <w:tab/>
      </w:r>
      <w:r w:rsidR="000F01CA" w:rsidRPr="00C1054E">
        <w:rPr>
          <w:rFonts w:ascii="Arial" w:hAnsi="Arial" w:cs="Arial"/>
          <w:color w:val="000000" w:themeColor="text1"/>
        </w:rPr>
        <w:t xml:space="preserve">Ponente </w:t>
      </w:r>
    </w:p>
    <w:p w14:paraId="1FF002FA" w14:textId="320AE0A0" w:rsidR="000F01CA" w:rsidRPr="00C1054E" w:rsidRDefault="000F01CA" w:rsidP="000F01CA">
      <w:pPr>
        <w:pStyle w:val="Sinespaciado"/>
        <w:spacing w:line="276" w:lineRule="auto"/>
        <w:jc w:val="both"/>
        <w:rPr>
          <w:rFonts w:ascii="Arial" w:hAnsi="Arial" w:cs="Arial"/>
          <w:color w:val="000000" w:themeColor="text1"/>
        </w:rPr>
      </w:pPr>
    </w:p>
    <w:p w14:paraId="7A44107A" w14:textId="634B322A" w:rsidR="0097522F" w:rsidRPr="00C1054E" w:rsidRDefault="0097522F" w:rsidP="0097522F">
      <w:pPr>
        <w:rPr>
          <w:rFonts w:ascii="Arial" w:hAnsi="Arial" w:cs="Arial"/>
          <w:color w:val="000000" w:themeColor="text1"/>
          <w:sz w:val="24"/>
          <w:szCs w:val="24"/>
        </w:rPr>
      </w:pPr>
    </w:p>
    <w:p w14:paraId="56D06773" w14:textId="141D79BA" w:rsidR="003F743E" w:rsidRPr="00C1054E" w:rsidRDefault="003F743E" w:rsidP="0097522F">
      <w:pPr>
        <w:rPr>
          <w:rFonts w:ascii="Arial" w:hAnsi="Arial" w:cs="Arial"/>
          <w:color w:val="000000" w:themeColor="text1"/>
          <w:sz w:val="24"/>
          <w:szCs w:val="24"/>
        </w:rPr>
      </w:pPr>
    </w:p>
    <w:p w14:paraId="49D38AF8" w14:textId="538720FD" w:rsidR="003F743E" w:rsidRPr="00C1054E" w:rsidRDefault="003F743E" w:rsidP="0097522F">
      <w:pPr>
        <w:rPr>
          <w:rFonts w:ascii="Arial" w:hAnsi="Arial" w:cs="Arial"/>
          <w:color w:val="000000" w:themeColor="text1"/>
          <w:sz w:val="24"/>
          <w:szCs w:val="24"/>
        </w:rPr>
      </w:pPr>
    </w:p>
    <w:p w14:paraId="02095C09" w14:textId="3C1C7BBE" w:rsidR="003F743E" w:rsidRPr="00C1054E" w:rsidRDefault="003F743E" w:rsidP="0097522F">
      <w:pPr>
        <w:rPr>
          <w:rFonts w:ascii="Arial" w:hAnsi="Arial" w:cs="Arial"/>
          <w:color w:val="000000" w:themeColor="text1"/>
          <w:sz w:val="24"/>
          <w:szCs w:val="24"/>
        </w:rPr>
      </w:pPr>
    </w:p>
    <w:p w14:paraId="2BC403E4" w14:textId="19D60079" w:rsidR="003F743E" w:rsidRPr="00C1054E" w:rsidRDefault="003F743E" w:rsidP="0097522F">
      <w:pPr>
        <w:rPr>
          <w:rFonts w:ascii="Arial" w:hAnsi="Arial" w:cs="Arial"/>
          <w:color w:val="000000" w:themeColor="text1"/>
          <w:sz w:val="24"/>
          <w:szCs w:val="24"/>
        </w:rPr>
      </w:pPr>
    </w:p>
    <w:p w14:paraId="41DCCFBD" w14:textId="4F1A5ED3" w:rsidR="003F743E" w:rsidRPr="00C1054E" w:rsidRDefault="003F743E" w:rsidP="0097522F">
      <w:pPr>
        <w:rPr>
          <w:rFonts w:ascii="Arial" w:hAnsi="Arial" w:cs="Arial"/>
          <w:color w:val="000000" w:themeColor="text1"/>
          <w:sz w:val="24"/>
          <w:szCs w:val="24"/>
        </w:rPr>
      </w:pPr>
    </w:p>
    <w:p w14:paraId="41B4A456" w14:textId="4A114F5C" w:rsidR="003F743E" w:rsidRPr="00C1054E" w:rsidRDefault="003F743E" w:rsidP="0097522F">
      <w:pPr>
        <w:rPr>
          <w:rFonts w:ascii="Arial" w:hAnsi="Arial" w:cs="Arial"/>
          <w:color w:val="000000" w:themeColor="text1"/>
          <w:sz w:val="24"/>
          <w:szCs w:val="24"/>
        </w:rPr>
      </w:pPr>
    </w:p>
    <w:p w14:paraId="151E4747" w14:textId="77777777" w:rsidR="003F743E" w:rsidRPr="00C1054E" w:rsidRDefault="003F743E" w:rsidP="0097522F">
      <w:pPr>
        <w:rPr>
          <w:rFonts w:ascii="Arial" w:hAnsi="Arial" w:cs="Arial"/>
          <w:color w:val="000000" w:themeColor="text1"/>
          <w:sz w:val="24"/>
          <w:szCs w:val="24"/>
        </w:rPr>
      </w:pPr>
    </w:p>
    <w:p w14:paraId="46D69C3A" w14:textId="32342F58" w:rsidR="0097522F" w:rsidRPr="00C1054E" w:rsidRDefault="0097522F" w:rsidP="0097522F">
      <w:pPr>
        <w:rPr>
          <w:rFonts w:ascii="Arial" w:hAnsi="Arial" w:cs="Arial"/>
          <w:color w:val="000000" w:themeColor="text1"/>
          <w:sz w:val="24"/>
          <w:szCs w:val="24"/>
        </w:rPr>
      </w:pPr>
    </w:p>
    <w:p w14:paraId="17090762" w14:textId="6AD4903A" w:rsidR="0097522F" w:rsidRPr="00C1054E" w:rsidRDefault="0097522F" w:rsidP="0097522F">
      <w:pPr>
        <w:rPr>
          <w:rFonts w:ascii="Arial" w:hAnsi="Arial" w:cs="Arial"/>
          <w:color w:val="000000" w:themeColor="text1"/>
          <w:sz w:val="24"/>
          <w:szCs w:val="24"/>
        </w:rPr>
      </w:pPr>
    </w:p>
    <w:p w14:paraId="77ADE09A" w14:textId="648E6490" w:rsidR="001011E6" w:rsidRPr="00C1054E" w:rsidRDefault="001011E6" w:rsidP="0097522F">
      <w:pPr>
        <w:rPr>
          <w:rFonts w:ascii="Arial" w:hAnsi="Arial" w:cs="Arial"/>
          <w:color w:val="000000" w:themeColor="text1"/>
          <w:sz w:val="24"/>
          <w:szCs w:val="24"/>
        </w:rPr>
      </w:pPr>
    </w:p>
    <w:p w14:paraId="45B4C274" w14:textId="3538E450" w:rsidR="001011E6" w:rsidRDefault="001011E6" w:rsidP="0097522F">
      <w:pPr>
        <w:rPr>
          <w:rFonts w:ascii="Arial" w:hAnsi="Arial" w:cs="Arial"/>
          <w:color w:val="000000" w:themeColor="text1"/>
          <w:sz w:val="24"/>
          <w:szCs w:val="24"/>
        </w:rPr>
      </w:pPr>
    </w:p>
    <w:p w14:paraId="629BA967" w14:textId="77777777" w:rsidR="00C1054E" w:rsidRPr="00C1054E" w:rsidRDefault="00C1054E" w:rsidP="0097522F">
      <w:pPr>
        <w:rPr>
          <w:rFonts w:ascii="Arial" w:hAnsi="Arial" w:cs="Arial"/>
          <w:color w:val="000000" w:themeColor="text1"/>
          <w:sz w:val="24"/>
          <w:szCs w:val="24"/>
        </w:rPr>
      </w:pPr>
    </w:p>
    <w:p w14:paraId="5B4A700E" w14:textId="77777777" w:rsidR="001011E6" w:rsidRPr="00C1054E" w:rsidRDefault="001011E6" w:rsidP="0097522F">
      <w:pPr>
        <w:rPr>
          <w:rFonts w:ascii="Arial" w:hAnsi="Arial" w:cs="Arial"/>
          <w:color w:val="000000" w:themeColor="text1"/>
          <w:sz w:val="24"/>
          <w:szCs w:val="24"/>
        </w:rPr>
      </w:pPr>
    </w:p>
    <w:p w14:paraId="7D07B1AB" w14:textId="77777777" w:rsidR="0097522F" w:rsidRPr="00C1054E" w:rsidRDefault="0097522F" w:rsidP="0097522F">
      <w:pPr>
        <w:rPr>
          <w:rFonts w:ascii="Arial" w:hAnsi="Arial" w:cs="Arial"/>
          <w:color w:val="000000" w:themeColor="text1"/>
          <w:sz w:val="24"/>
          <w:szCs w:val="24"/>
        </w:rPr>
      </w:pPr>
    </w:p>
    <w:p w14:paraId="75B65FB5" w14:textId="6AECA86C" w:rsidR="00034741" w:rsidRPr="00C1054E" w:rsidRDefault="00034741" w:rsidP="00645617">
      <w:pPr>
        <w:pStyle w:val="Ttulo1"/>
        <w:tabs>
          <w:tab w:val="left" w:pos="821"/>
          <w:tab w:val="left" w:pos="822"/>
        </w:tabs>
        <w:spacing w:line="240" w:lineRule="auto"/>
        <w:jc w:val="center"/>
        <w:rPr>
          <w:rFonts w:ascii="Arial" w:hAnsi="Arial" w:cs="Arial"/>
          <w:color w:val="000000" w:themeColor="text1"/>
          <w:sz w:val="24"/>
          <w:szCs w:val="24"/>
        </w:rPr>
      </w:pPr>
      <w:r w:rsidRPr="00C1054E">
        <w:rPr>
          <w:rFonts w:ascii="Arial" w:hAnsi="Arial" w:cs="Arial"/>
          <w:color w:val="000000" w:themeColor="text1"/>
          <w:sz w:val="24"/>
          <w:szCs w:val="24"/>
        </w:rPr>
        <w:t>TEXTO PROPUESTO PARA PRIMER DEBATE</w:t>
      </w:r>
    </w:p>
    <w:p w14:paraId="5E3C8820" w14:textId="567CD3EA" w:rsidR="00034741" w:rsidRPr="00C1054E" w:rsidRDefault="006848E9" w:rsidP="00645617">
      <w:pPr>
        <w:spacing w:line="240" w:lineRule="auto"/>
        <w:jc w:val="center"/>
        <w:rPr>
          <w:rFonts w:ascii="Arial" w:hAnsi="Arial" w:cs="Arial"/>
          <w:b/>
          <w:color w:val="000000" w:themeColor="text1"/>
          <w:sz w:val="24"/>
          <w:szCs w:val="24"/>
        </w:rPr>
      </w:pPr>
      <w:r w:rsidRPr="00C1054E">
        <w:rPr>
          <w:rFonts w:ascii="Arial" w:hAnsi="Arial" w:cs="Arial"/>
          <w:b/>
          <w:color w:val="000000" w:themeColor="text1"/>
          <w:sz w:val="24"/>
          <w:szCs w:val="24"/>
        </w:rPr>
        <w:t>PROYECTO DE LEY No. 10</w:t>
      </w:r>
      <w:r w:rsidR="00310418" w:rsidRPr="00C1054E">
        <w:rPr>
          <w:rFonts w:ascii="Arial" w:hAnsi="Arial" w:cs="Arial"/>
          <w:b/>
          <w:color w:val="000000" w:themeColor="text1"/>
          <w:sz w:val="24"/>
          <w:szCs w:val="24"/>
        </w:rPr>
        <w:t xml:space="preserve">6 </w:t>
      </w:r>
      <w:r w:rsidR="00034741" w:rsidRPr="00C1054E">
        <w:rPr>
          <w:rFonts w:ascii="Arial" w:hAnsi="Arial" w:cs="Arial"/>
          <w:b/>
          <w:color w:val="000000" w:themeColor="text1"/>
          <w:sz w:val="24"/>
          <w:szCs w:val="24"/>
        </w:rPr>
        <w:t>DE 202</w:t>
      </w:r>
      <w:r w:rsidR="00B9563D" w:rsidRPr="00C1054E">
        <w:rPr>
          <w:rFonts w:ascii="Arial" w:hAnsi="Arial" w:cs="Arial"/>
          <w:b/>
          <w:color w:val="000000" w:themeColor="text1"/>
          <w:sz w:val="24"/>
          <w:szCs w:val="24"/>
        </w:rPr>
        <w:t>2</w:t>
      </w:r>
      <w:r w:rsidR="00034741" w:rsidRPr="00C1054E">
        <w:rPr>
          <w:rFonts w:ascii="Arial" w:hAnsi="Arial" w:cs="Arial"/>
          <w:b/>
          <w:color w:val="000000" w:themeColor="text1"/>
          <w:sz w:val="24"/>
          <w:szCs w:val="24"/>
        </w:rPr>
        <w:t xml:space="preserve"> CÁMARA</w:t>
      </w:r>
    </w:p>
    <w:p w14:paraId="62FDBF23" w14:textId="0FB8F8E5" w:rsidR="006848E9" w:rsidRPr="00C1054E" w:rsidRDefault="006848E9" w:rsidP="006848E9">
      <w:pPr>
        <w:spacing w:line="240" w:lineRule="auto"/>
        <w:jc w:val="center"/>
        <w:rPr>
          <w:rFonts w:ascii="Arial" w:eastAsia="Arial" w:hAnsi="Arial" w:cs="Arial"/>
          <w:color w:val="000000" w:themeColor="text1"/>
          <w:sz w:val="24"/>
          <w:szCs w:val="24"/>
        </w:rPr>
      </w:pPr>
      <w:r w:rsidRPr="00C1054E">
        <w:rPr>
          <w:rFonts w:ascii="Arial" w:eastAsia="Arial" w:hAnsi="Arial" w:cs="Arial"/>
          <w:color w:val="000000" w:themeColor="text1"/>
          <w:sz w:val="24"/>
          <w:szCs w:val="24"/>
        </w:rPr>
        <w:t>“Por medio del cual se establece el ingreso base de cotización (IBC) de los independientes</w:t>
      </w:r>
      <w:r w:rsidR="00AA0F18" w:rsidRPr="00C1054E">
        <w:rPr>
          <w:rFonts w:ascii="Arial" w:eastAsia="Arial" w:hAnsi="Arial" w:cs="Arial"/>
          <w:color w:val="000000" w:themeColor="text1"/>
          <w:sz w:val="24"/>
          <w:szCs w:val="24"/>
        </w:rPr>
        <w:t>”</w:t>
      </w:r>
    </w:p>
    <w:p w14:paraId="65AC0599" w14:textId="5D460A15" w:rsidR="00034741" w:rsidRPr="00C1054E" w:rsidRDefault="00034741" w:rsidP="006848E9">
      <w:pPr>
        <w:spacing w:line="240" w:lineRule="auto"/>
        <w:jc w:val="center"/>
        <w:rPr>
          <w:rFonts w:ascii="Arial" w:hAnsi="Arial" w:cs="Arial"/>
          <w:b/>
          <w:color w:val="000000" w:themeColor="text1"/>
          <w:sz w:val="24"/>
          <w:szCs w:val="24"/>
        </w:rPr>
      </w:pPr>
      <w:r w:rsidRPr="00C1054E">
        <w:rPr>
          <w:rFonts w:ascii="Arial" w:hAnsi="Arial" w:cs="Arial"/>
          <w:b/>
          <w:color w:val="000000" w:themeColor="text1"/>
          <w:sz w:val="24"/>
          <w:szCs w:val="24"/>
        </w:rPr>
        <w:t>EL CONGRESO DE COLOMBIA</w:t>
      </w:r>
    </w:p>
    <w:p w14:paraId="557E37DF" w14:textId="0321E2B6" w:rsidR="00034741" w:rsidRPr="00C1054E" w:rsidRDefault="00034741" w:rsidP="00645617">
      <w:pPr>
        <w:spacing w:line="240" w:lineRule="auto"/>
        <w:jc w:val="center"/>
        <w:rPr>
          <w:rFonts w:ascii="Arial" w:hAnsi="Arial" w:cs="Arial"/>
          <w:b/>
          <w:color w:val="000000" w:themeColor="text1"/>
          <w:sz w:val="24"/>
          <w:szCs w:val="24"/>
        </w:rPr>
      </w:pPr>
      <w:r w:rsidRPr="00C1054E">
        <w:rPr>
          <w:rFonts w:ascii="Arial" w:hAnsi="Arial" w:cs="Arial"/>
          <w:b/>
          <w:color w:val="000000" w:themeColor="text1"/>
          <w:sz w:val="24"/>
          <w:szCs w:val="24"/>
        </w:rPr>
        <w:t>DECRETA</w:t>
      </w:r>
    </w:p>
    <w:p w14:paraId="537E5F68" w14:textId="00381CE2" w:rsidR="00E75A7A" w:rsidRPr="00C1054E" w:rsidRDefault="00AA0F18" w:rsidP="00AA0F18">
      <w:pPr>
        <w:spacing w:line="240" w:lineRule="auto"/>
        <w:jc w:val="both"/>
        <w:rPr>
          <w:rFonts w:ascii="Arial" w:eastAsia="Arial" w:hAnsi="Arial" w:cs="Arial"/>
          <w:color w:val="000000" w:themeColor="text1"/>
          <w:sz w:val="24"/>
          <w:szCs w:val="24"/>
        </w:rPr>
      </w:pPr>
      <w:r w:rsidRPr="00C1054E">
        <w:rPr>
          <w:rFonts w:ascii="Arial" w:eastAsia="Arial" w:hAnsi="Arial" w:cs="Arial"/>
          <w:b/>
          <w:color w:val="000000" w:themeColor="text1"/>
          <w:sz w:val="24"/>
          <w:szCs w:val="24"/>
        </w:rPr>
        <w:t>Artículo 1. Objeto.</w:t>
      </w:r>
      <w:r w:rsidRPr="00C1054E">
        <w:rPr>
          <w:rFonts w:ascii="Arial" w:eastAsia="Arial" w:hAnsi="Arial" w:cs="Arial"/>
          <w:color w:val="000000" w:themeColor="text1"/>
          <w:sz w:val="24"/>
          <w:szCs w:val="24"/>
        </w:rPr>
        <w:t xml:space="preserve"> La presente ley tiene por objeto establecer el régimen de ingreso base de cotización (IBC) para el pago de los aportes que hacen los independientes al sistema de seguridad social integral.  </w:t>
      </w:r>
    </w:p>
    <w:p w14:paraId="6769D3FF" w14:textId="61F6D3DF" w:rsidR="00AA0F18" w:rsidRPr="00C1054E" w:rsidRDefault="00AA0F18" w:rsidP="00AA0F18">
      <w:pPr>
        <w:spacing w:line="240" w:lineRule="auto"/>
        <w:jc w:val="both"/>
        <w:rPr>
          <w:rFonts w:ascii="Arial" w:eastAsia="Arial" w:hAnsi="Arial" w:cs="Arial"/>
          <w:color w:val="000000" w:themeColor="text1"/>
          <w:sz w:val="24"/>
          <w:szCs w:val="24"/>
        </w:rPr>
      </w:pPr>
    </w:p>
    <w:p w14:paraId="6E447239" w14:textId="77777777" w:rsidR="00AA0F18" w:rsidRPr="00C1054E" w:rsidRDefault="00AA0F18" w:rsidP="00AA0F18">
      <w:pPr>
        <w:spacing w:after="0" w:line="264" w:lineRule="auto"/>
        <w:jc w:val="both"/>
        <w:rPr>
          <w:rFonts w:ascii="Arial" w:hAnsi="Arial" w:cs="Arial"/>
          <w:b/>
          <w:color w:val="000000" w:themeColor="text1"/>
          <w:sz w:val="24"/>
          <w:szCs w:val="24"/>
        </w:rPr>
      </w:pPr>
      <w:r w:rsidRPr="00C1054E">
        <w:rPr>
          <w:rFonts w:ascii="Arial" w:hAnsi="Arial" w:cs="Arial"/>
          <w:b/>
          <w:color w:val="000000" w:themeColor="text1"/>
          <w:sz w:val="24"/>
          <w:szCs w:val="24"/>
        </w:rPr>
        <w:t xml:space="preserve">Artículo 2.  Ingreso base de cotización (IBC) de los independientes. </w:t>
      </w:r>
    </w:p>
    <w:p w14:paraId="52DEDDD5" w14:textId="77777777" w:rsidR="00AA0F18" w:rsidRPr="00C1054E" w:rsidRDefault="00AA0F18" w:rsidP="00AA0F18">
      <w:pPr>
        <w:spacing w:after="0" w:line="264" w:lineRule="auto"/>
        <w:jc w:val="both"/>
        <w:rPr>
          <w:rFonts w:ascii="Arial" w:hAnsi="Arial" w:cs="Arial"/>
          <w:b/>
          <w:color w:val="000000" w:themeColor="text1"/>
          <w:sz w:val="24"/>
          <w:szCs w:val="24"/>
        </w:rPr>
      </w:pPr>
    </w:p>
    <w:p w14:paraId="4AF10839" w14:textId="77777777" w:rsidR="00AA0F18" w:rsidRPr="00C1054E" w:rsidRDefault="00AA0F18" w:rsidP="00AA0F18">
      <w:pPr>
        <w:spacing w:after="0" w:line="264" w:lineRule="auto"/>
        <w:jc w:val="both"/>
        <w:rPr>
          <w:rFonts w:ascii="Arial" w:hAnsi="Arial" w:cs="Arial"/>
          <w:color w:val="000000" w:themeColor="text1"/>
          <w:sz w:val="24"/>
          <w:szCs w:val="24"/>
        </w:rPr>
      </w:pPr>
      <w:r w:rsidRPr="00C1054E">
        <w:rPr>
          <w:rFonts w:ascii="Arial" w:hAnsi="Arial" w:cs="Arial"/>
          <w:color w:val="000000" w:themeColor="text1"/>
          <w:sz w:val="24"/>
          <w:szCs w:val="24"/>
        </w:rPr>
        <w:t>Los trabajadores independientes con ingresos netos mensuales iguales o superiores a un (1) salario mínimo legal mensual vigente que celebren contratos de prestación de servicios personales, es decir quienes reciben honorarios por servicios de carácter personal, cotizarán mes vencido al Sistema de Seguridad Social Integral, sobre una base mínima del 40% del valor mensualizado del contrato, sin incluir el valor del impuesto sobre las ventas -IVA.</w:t>
      </w:r>
    </w:p>
    <w:p w14:paraId="1BD5565D" w14:textId="77777777" w:rsidR="00AA0F18" w:rsidRPr="00C1054E" w:rsidRDefault="00AA0F18" w:rsidP="00AA0F18">
      <w:pPr>
        <w:spacing w:after="0" w:line="264" w:lineRule="auto"/>
        <w:jc w:val="both"/>
        <w:rPr>
          <w:rFonts w:ascii="Arial" w:hAnsi="Arial" w:cs="Arial"/>
          <w:color w:val="000000" w:themeColor="text1"/>
          <w:sz w:val="24"/>
          <w:szCs w:val="24"/>
        </w:rPr>
      </w:pPr>
    </w:p>
    <w:p w14:paraId="625EF796" w14:textId="77777777" w:rsidR="00AA0F18" w:rsidRPr="00C1054E" w:rsidRDefault="00AA0F18" w:rsidP="00AA0F18">
      <w:pPr>
        <w:spacing w:after="0" w:line="264" w:lineRule="auto"/>
        <w:jc w:val="both"/>
        <w:rPr>
          <w:rFonts w:ascii="Arial" w:hAnsi="Arial" w:cs="Arial"/>
          <w:color w:val="000000" w:themeColor="text1"/>
          <w:sz w:val="24"/>
          <w:szCs w:val="24"/>
        </w:rPr>
      </w:pPr>
      <w:r w:rsidRPr="00C1054E">
        <w:rPr>
          <w:rFonts w:ascii="Arial" w:hAnsi="Arial" w:cs="Arial"/>
          <w:color w:val="000000" w:themeColor="text1"/>
          <w:sz w:val="24"/>
          <w:szCs w:val="24"/>
        </w:rPr>
        <w:t xml:space="preserve">Los independientes por cuenta propia que realizan una actividad económica bajo su propia cuenta y riesgo y los trabajadores independientes con contratos diferentes a prestación de servicios personales con ingresos netos mensuales iguales o superiores a un (1) salario mínimo legal mensual vigente (SMLMV) efectuarán su cotización mes vencido, sobre una base mínima de cotización del 40% del valor mensual de los ingresos causados para quienes están obligados a llevar contabilidad, o los ingresos efectivamente percibidos para los que no tienen dicha obligación, sin incluir el valor del impuesto sobre las ventas - IVA. Sin perjuicio de lo anterior, quienes no están obligados a llevar contabilidad y decidan llevarla en debida forma, podrán tomar como ingresos para determinar la base de cotización el valor causado o el efectivamente percibido. En estos casos será procedente la imputación de costos y deducciones siempre que se cumplan los criterios determinados en el artículo 107 del Estatuto Tributario y sin exceder los valores incluidos en la declaración de renta de la respectiva vigencia. </w:t>
      </w:r>
    </w:p>
    <w:p w14:paraId="704D3278" w14:textId="77777777" w:rsidR="00AA0F18" w:rsidRPr="00C1054E" w:rsidRDefault="00AA0F18" w:rsidP="00AA0F18">
      <w:pPr>
        <w:spacing w:after="0" w:line="264" w:lineRule="auto"/>
        <w:jc w:val="both"/>
        <w:rPr>
          <w:rFonts w:ascii="Arial" w:hAnsi="Arial" w:cs="Arial"/>
          <w:color w:val="000000" w:themeColor="text1"/>
          <w:sz w:val="24"/>
          <w:szCs w:val="24"/>
        </w:rPr>
      </w:pPr>
    </w:p>
    <w:p w14:paraId="5C9624E5" w14:textId="77777777" w:rsidR="00AA0F18" w:rsidRPr="00C1054E" w:rsidRDefault="00AA0F18" w:rsidP="00AA0F18">
      <w:pPr>
        <w:spacing w:after="0" w:line="264" w:lineRule="auto"/>
        <w:jc w:val="both"/>
        <w:rPr>
          <w:rFonts w:ascii="Arial" w:hAnsi="Arial" w:cs="Arial"/>
          <w:color w:val="000000" w:themeColor="text1"/>
          <w:sz w:val="24"/>
          <w:szCs w:val="24"/>
        </w:rPr>
      </w:pPr>
      <w:r w:rsidRPr="00C1054E">
        <w:rPr>
          <w:rFonts w:ascii="Arial" w:hAnsi="Arial" w:cs="Arial"/>
          <w:color w:val="000000" w:themeColor="text1"/>
          <w:sz w:val="24"/>
          <w:szCs w:val="24"/>
        </w:rPr>
        <w:lastRenderedPageBreak/>
        <w:t>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w:t>
      </w:r>
    </w:p>
    <w:p w14:paraId="07125669" w14:textId="77777777" w:rsidR="00AA0F18" w:rsidRPr="00C1054E" w:rsidRDefault="00AA0F18" w:rsidP="00AA0F18">
      <w:pPr>
        <w:spacing w:after="0" w:line="264" w:lineRule="auto"/>
        <w:jc w:val="both"/>
        <w:rPr>
          <w:rFonts w:ascii="Arial" w:hAnsi="Arial" w:cs="Arial"/>
          <w:color w:val="000000" w:themeColor="text1"/>
          <w:sz w:val="24"/>
          <w:szCs w:val="24"/>
        </w:rPr>
      </w:pPr>
    </w:p>
    <w:p w14:paraId="6589BF3A" w14:textId="77777777" w:rsidR="00AA0F18" w:rsidRPr="00C1054E" w:rsidRDefault="00AA0F18" w:rsidP="00AA0F18">
      <w:pPr>
        <w:spacing w:after="0" w:line="264" w:lineRule="auto"/>
        <w:jc w:val="both"/>
        <w:rPr>
          <w:rFonts w:ascii="Arial" w:hAnsi="Arial" w:cs="Arial"/>
          <w:color w:val="000000" w:themeColor="text1"/>
          <w:sz w:val="24"/>
          <w:szCs w:val="24"/>
        </w:rPr>
      </w:pPr>
      <w:r w:rsidRPr="00C1054E">
        <w:rPr>
          <w:rFonts w:ascii="Arial" w:hAnsi="Arial" w:cs="Arial"/>
          <w:b/>
          <w:color w:val="000000" w:themeColor="text1"/>
          <w:sz w:val="24"/>
          <w:szCs w:val="24"/>
        </w:rPr>
        <w:t>PARÁGRAFO 1.</w:t>
      </w:r>
      <w:r w:rsidRPr="00C1054E">
        <w:rPr>
          <w:rFonts w:ascii="Arial" w:hAnsi="Arial" w:cs="Arial"/>
          <w:color w:val="000000" w:themeColor="text1"/>
          <w:sz w:val="24"/>
          <w:szCs w:val="24"/>
        </w:rPr>
        <w:t xml:space="preserve"> Para efectos de la determinación del ingreso base de cotización de los trabajadores independientes por cuenta propia y para quienes celebren contratos diferentes de prestación de servicios personales que impliquen subcontratación y/o compra de insumos o expensas, la U.A.E Unidad de Gestión Pensional y Parafiscales -UGPP deberá, atendiendo a los datos estadísticos producidos por la Dirección de Impuestos y Aduanas Nacionales -DIAN, por el Departamento Administrativo Nacional de Estadística -DANE, por el Banco de la República, por la Superintendencia de Sociedades u otras entidades cuyas estadísticas fueren aplicables, determinar un esquema de presunción de costos. 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107 del Estatuto Tributario y demás normas que regulen las exigencias para la validez de dichos documentos. </w:t>
      </w:r>
    </w:p>
    <w:p w14:paraId="707A000A" w14:textId="77777777" w:rsidR="00AA0F18" w:rsidRPr="00C1054E" w:rsidRDefault="00AA0F18" w:rsidP="00AA0F18">
      <w:pPr>
        <w:spacing w:after="0" w:line="264" w:lineRule="auto"/>
        <w:jc w:val="both"/>
        <w:rPr>
          <w:rFonts w:ascii="Arial" w:hAnsi="Arial" w:cs="Arial"/>
          <w:color w:val="000000" w:themeColor="text1"/>
          <w:sz w:val="24"/>
          <w:szCs w:val="24"/>
        </w:rPr>
      </w:pPr>
    </w:p>
    <w:p w14:paraId="570350E3" w14:textId="277FD2F1" w:rsidR="00AA0F18" w:rsidRPr="00C1054E" w:rsidRDefault="00AA0F18" w:rsidP="00AA0F18">
      <w:pPr>
        <w:spacing w:line="240" w:lineRule="auto"/>
        <w:jc w:val="both"/>
        <w:rPr>
          <w:rFonts w:ascii="Arial" w:hAnsi="Arial" w:cs="Arial"/>
          <w:color w:val="000000" w:themeColor="text1"/>
          <w:sz w:val="24"/>
          <w:szCs w:val="24"/>
        </w:rPr>
      </w:pPr>
      <w:r w:rsidRPr="00C1054E">
        <w:rPr>
          <w:rFonts w:ascii="Arial" w:hAnsi="Arial" w:cs="Arial"/>
          <w:b/>
          <w:color w:val="000000" w:themeColor="text1"/>
          <w:sz w:val="24"/>
          <w:szCs w:val="24"/>
        </w:rPr>
        <w:t>PARÁGRAFO 2.</w:t>
      </w:r>
      <w:r w:rsidRPr="00C1054E">
        <w:rPr>
          <w:rFonts w:ascii="Arial" w:hAnsi="Arial" w:cs="Arial"/>
          <w:color w:val="000000" w:themeColor="text1"/>
          <w:sz w:val="24"/>
          <w:szCs w:val="24"/>
        </w:rPr>
        <w:t xml:space="preserve"> 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w:t>
      </w:r>
    </w:p>
    <w:p w14:paraId="59EBF11A" w14:textId="3049E165" w:rsidR="00AA0F18" w:rsidRPr="00C1054E" w:rsidRDefault="00C1054E" w:rsidP="00AA0F18">
      <w:pPr>
        <w:spacing w:line="276" w:lineRule="auto"/>
        <w:jc w:val="both"/>
        <w:rPr>
          <w:rFonts w:ascii="Arial" w:eastAsia="Arial" w:hAnsi="Arial" w:cs="Arial"/>
          <w:color w:val="000000" w:themeColor="text1"/>
          <w:sz w:val="24"/>
          <w:szCs w:val="24"/>
        </w:rPr>
      </w:pPr>
      <w:r>
        <w:rPr>
          <w:rFonts w:ascii="Arial" w:eastAsia="Arial" w:hAnsi="Arial" w:cs="Arial"/>
          <w:b/>
          <w:color w:val="000000" w:themeColor="text1"/>
          <w:sz w:val="24"/>
          <w:szCs w:val="24"/>
        </w:rPr>
        <w:t>Artículo 3</w:t>
      </w:r>
      <w:r w:rsidR="00AA0F18" w:rsidRPr="00C1054E">
        <w:rPr>
          <w:rFonts w:ascii="Arial" w:eastAsia="Arial" w:hAnsi="Arial" w:cs="Arial"/>
          <w:b/>
          <w:color w:val="000000" w:themeColor="text1"/>
          <w:sz w:val="24"/>
          <w:szCs w:val="24"/>
        </w:rPr>
        <w:t>. Vigencia.</w:t>
      </w:r>
      <w:r w:rsidR="00AA0F18" w:rsidRPr="00C1054E">
        <w:rPr>
          <w:rFonts w:ascii="Arial" w:eastAsia="Arial" w:hAnsi="Arial" w:cs="Arial"/>
          <w:color w:val="000000" w:themeColor="text1"/>
          <w:sz w:val="24"/>
          <w:szCs w:val="24"/>
        </w:rPr>
        <w:t xml:space="preserve"> </w:t>
      </w:r>
      <w:r w:rsidR="00AA0F18" w:rsidRPr="00C1054E">
        <w:rPr>
          <w:rFonts w:ascii="Arial" w:hAnsi="Arial" w:cs="Arial"/>
          <w:color w:val="000000" w:themeColor="text1"/>
          <w:sz w:val="24"/>
          <w:szCs w:val="24"/>
        </w:rPr>
        <w:t>La presente ley rige a partir de su publicación y deroga todas las disposiciones que le sean contrarias.</w:t>
      </w:r>
    </w:p>
    <w:p w14:paraId="04E17FAE" w14:textId="77777777" w:rsidR="00AA0F18" w:rsidRPr="00C1054E" w:rsidRDefault="00AA0F18" w:rsidP="00AA0F18">
      <w:pPr>
        <w:spacing w:line="240" w:lineRule="auto"/>
        <w:jc w:val="both"/>
        <w:rPr>
          <w:rFonts w:ascii="Arial" w:eastAsia="Arial" w:hAnsi="Arial" w:cs="Arial"/>
          <w:color w:val="000000" w:themeColor="text1"/>
          <w:sz w:val="24"/>
          <w:szCs w:val="24"/>
        </w:rPr>
      </w:pPr>
    </w:p>
    <w:p w14:paraId="448D57AE" w14:textId="77777777" w:rsidR="00AA0F18" w:rsidRPr="00C1054E" w:rsidRDefault="00AA0F18" w:rsidP="00645617">
      <w:pPr>
        <w:spacing w:line="240" w:lineRule="auto"/>
        <w:rPr>
          <w:rFonts w:ascii="Arial" w:hAnsi="Arial" w:cs="Arial"/>
          <w:color w:val="000000" w:themeColor="text1"/>
          <w:sz w:val="24"/>
          <w:szCs w:val="24"/>
        </w:rPr>
      </w:pPr>
    </w:p>
    <w:p w14:paraId="7B44B61C" w14:textId="77777777" w:rsidR="00310418" w:rsidRPr="00C1054E" w:rsidRDefault="00310418" w:rsidP="00645617">
      <w:pPr>
        <w:spacing w:line="240" w:lineRule="auto"/>
        <w:rPr>
          <w:rFonts w:ascii="Arial" w:hAnsi="Arial" w:cs="Arial"/>
          <w:color w:val="000000" w:themeColor="text1"/>
          <w:sz w:val="24"/>
          <w:szCs w:val="24"/>
        </w:rPr>
      </w:pPr>
    </w:p>
    <w:p w14:paraId="05D640D0" w14:textId="77777777" w:rsidR="00310418" w:rsidRPr="00C1054E" w:rsidRDefault="00310418" w:rsidP="00310418">
      <w:pPr>
        <w:pStyle w:val="Default"/>
        <w:ind w:left="-284"/>
        <w:rPr>
          <w:rFonts w:ascii="Arial" w:eastAsiaTheme="minorEastAsia" w:hAnsi="Arial" w:cs="Arial"/>
          <w:color w:val="000000" w:themeColor="text1"/>
          <w:lang w:val="es-ES_tradnl"/>
        </w:rPr>
      </w:pPr>
      <w:r w:rsidRPr="00C1054E">
        <w:rPr>
          <w:rFonts w:ascii="Arial" w:eastAsiaTheme="minorEastAsia" w:hAnsi="Arial" w:cs="Arial"/>
          <w:color w:val="000000" w:themeColor="text1"/>
          <w:lang w:val="es-ES_tradnl"/>
        </w:rPr>
        <w:t xml:space="preserve">Atentamente, </w:t>
      </w:r>
    </w:p>
    <w:p w14:paraId="07812E2D" w14:textId="77777777" w:rsidR="00310418" w:rsidRPr="00C1054E" w:rsidRDefault="00310418" w:rsidP="00310418">
      <w:pPr>
        <w:pStyle w:val="Default"/>
        <w:ind w:left="-284"/>
        <w:rPr>
          <w:rFonts w:ascii="Arial" w:eastAsiaTheme="minorEastAsia" w:hAnsi="Arial" w:cs="Arial"/>
          <w:color w:val="000000" w:themeColor="text1"/>
          <w:lang w:val="es-ES_tradnl"/>
        </w:rPr>
      </w:pPr>
    </w:p>
    <w:p w14:paraId="01D53A2F" w14:textId="77777777" w:rsidR="00310418" w:rsidRPr="00C1054E" w:rsidRDefault="00310418" w:rsidP="00310418">
      <w:pPr>
        <w:pStyle w:val="Default"/>
        <w:ind w:left="-284"/>
        <w:rPr>
          <w:rFonts w:ascii="Arial" w:eastAsiaTheme="minorEastAsia" w:hAnsi="Arial" w:cs="Arial"/>
          <w:color w:val="000000" w:themeColor="text1"/>
          <w:lang w:val="es-ES_tradnl"/>
        </w:rPr>
      </w:pPr>
    </w:p>
    <w:p w14:paraId="6C25DBA3" w14:textId="77777777" w:rsidR="00310418" w:rsidRPr="00C1054E" w:rsidRDefault="00310418" w:rsidP="00310418">
      <w:pPr>
        <w:autoSpaceDE w:val="0"/>
        <w:autoSpaceDN w:val="0"/>
        <w:adjustRightInd w:val="0"/>
        <w:spacing w:after="0" w:line="240" w:lineRule="auto"/>
        <w:jc w:val="both"/>
        <w:rPr>
          <w:rFonts w:ascii="Arial" w:hAnsi="Arial" w:cs="Arial"/>
          <w:color w:val="000000" w:themeColor="text1"/>
          <w:sz w:val="24"/>
          <w:szCs w:val="24"/>
          <w:lang w:val="es-ES"/>
        </w:rPr>
      </w:pPr>
    </w:p>
    <w:p w14:paraId="0367EFC3" w14:textId="77777777" w:rsidR="00310418" w:rsidRPr="00C1054E" w:rsidRDefault="00310418" w:rsidP="00310418">
      <w:pPr>
        <w:autoSpaceDE w:val="0"/>
        <w:autoSpaceDN w:val="0"/>
        <w:adjustRightInd w:val="0"/>
        <w:spacing w:after="0" w:line="240" w:lineRule="auto"/>
        <w:jc w:val="both"/>
        <w:rPr>
          <w:rFonts w:ascii="Arial" w:hAnsi="Arial" w:cs="Arial"/>
          <w:color w:val="000000" w:themeColor="text1"/>
          <w:sz w:val="24"/>
          <w:szCs w:val="24"/>
          <w:lang w:val="es-ES"/>
        </w:rPr>
      </w:pPr>
    </w:p>
    <w:p w14:paraId="6E3DF08A" w14:textId="77777777" w:rsidR="00E86FE7" w:rsidRPr="00C1054E" w:rsidRDefault="00E86FE7" w:rsidP="00E86FE7">
      <w:pPr>
        <w:pStyle w:val="Sinespaciado"/>
        <w:rPr>
          <w:rFonts w:ascii="Arial" w:hAnsi="Arial" w:cs="Arial"/>
          <w:b/>
          <w:color w:val="000000" w:themeColor="text1"/>
        </w:rPr>
      </w:pPr>
      <w:r w:rsidRPr="00C1054E">
        <w:rPr>
          <w:rFonts w:ascii="Arial" w:hAnsi="Arial" w:cs="Arial"/>
          <w:b/>
          <w:color w:val="000000" w:themeColor="text1"/>
        </w:rPr>
        <w:t>HÉCTOR DAVID CHAPARRO</w:t>
      </w:r>
      <w:r w:rsidRPr="00C1054E">
        <w:rPr>
          <w:rFonts w:ascii="Arial" w:hAnsi="Arial" w:cs="Arial"/>
          <w:b/>
          <w:color w:val="000000" w:themeColor="text1"/>
        </w:rPr>
        <w:tab/>
      </w:r>
      <w:r w:rsidRPr="00C1054E">
        <w:rPr>
          <w:rFonts w:ascii="Arial" w:hAnsi="Arial" w:cs="Arial"/>
          <w:b/>
          <w:color w:val="000000" w:themeColor="text1"/>
        </w:rPr>
        <w:tab/>
      </w:r>
      <w:r w:rsidRPr="00C1054E">
        <w:rPr>
          <w:rFonts w:ascii="Arial" w:hAnsi="Arial" w:cs="Arial"/>
          <w:b/>
          <w:color w:val="000000" w:themeColor="text1"/>
        </w:rPr>
        <w:tab/>
        <w:t xml:space="preserve">VÍCTOR MANUEL SALCEDO </w:t>
      </w:r>
    </w:p>
    <w:p w14:paraId="5941C382" w14:textId="77777777" w:rsidR="00E86FE7" w:rsidRPr="00C1054E" w:rsidRDefault="00E86FE7" w:rsidP="00E86FE7">
      <w:pPr>
        <w:pStyle w:val="Sinespaciado"/>
        <w:rPr>
          <w:rFonts w:ascii="Arial" w:hAnsi="Arial" w:cs="Arial"/>
          <w:color w:val="000000" w:themeColor="text1"/>
        </w:rPr>
      </w:pPr>
      <w:r w:rsidRPr="00C1054E">
        <w:rPr>
          <w:rFonts w:ascii="Arial" w:hAnsi="Arial" w:cs="Arial"/>
          <w:color w:val="000000" w:themeColor="text1"/>
        </w:rPr>
        <w:t>Representante a la Cámara</w:t>
      </w:r>
      <w:r w:rsidRPr="00C1054E">
        <w:rPr>
          <w:rFonts w:ascii="Arial" w:hAnsi="Arial" w:cs="Arial"/>
          <w:color w:val="000000" w:themeColor="text1"/>
        </w:rPr>
        <w:tab/>
      </w:r>
      <w:r w:rsidRPr="00C1054E">
        <w:rPr>
          <w:rFonts w:ascii="Arial" w:hAnsi="Arial" w:cs="Arial"/>
          <w:color w:val="000000" w:themeColor="text1"/>
        </w:rPr>
        <w:tab/>
      </w:r>
      <w:r w:rsidRPr="00C1054E">
        <w:rPr>
          <w:rFonts w:ascii="Arial" w:hAnsi="Arial" w:cs="Arial"/>
          <w:color w:val="000000" w:themeColor="text1"/>
        </w:rPr>
        <w:tab/>
        <w:t xml:space="preserve">Representante a la Cámara </w:t>
      </w:r>
    </w:p>
    <w:p w14:paraId="4AF6494A" w14:textId="77777777" w:rsidR="00E86FE7" w:rsidRPr="00C1054E" w:rsidRDefault="00E86FE7" w:rsidP="00E86FE7">
      <w:pPr>
        <w:pStyle w:val="Sinespaciado"/>
        <w:spacing w:line="276" w:lineRule="auto"/>
        <w:jc w:val="both"/>
        <w:rPr>
          <w:rFonts w:ascii="Arial" w:hAnsi="Arial" w:cs="Arial"/>
          <w:color w:val="000000" w:themeColor="text1"/>
        </w:rPr>
      </w:pPr>
      <w:r w:rsidRPr="00C1054E">
        <w:rPr>
          <w:rFonts w:ascii="Arial" w:hAnsi="Arial" w:cs="Arial"/>
          <w:color w:val="000000" w:themeColor="text1"/>
        </w:rPr>
        <w:t xml:space="preserve">Ponente Coordinador </w:t>
      </w:r>
      <w:r w:rsidRPr="00C1054E">
        <w:rPr>
          <w:rFonts w:ascii="Arial" w:hAnsi="Arial" w:cs="Arial"/>
          <w:color w:val="000000" w:themeColor="text1"/>
        </w:rPr>
        <w:tab/>
      </w:r>
      <w:r w:rsidRPr="00C1054E">
        <w:rPr>
          <w:rFonts w:ascii="Arial" w:hAnsi="Arial" w:cs="Arial"/>
          <w:color w:val="000000" w:themeColor="text1"/>
        </w:rPr>
        <w:tab/>
      </w:r>
      <w:r w:rsidRPr="00C1054E">
        <w:rPr>
          <w:rFonts w:ascii="Arial" w:hAnsi="Arial" w:cs="Arial"/>
          <w:color w:val="000000" w:themeColor="text1"/>
        </w:rPr>
        <w:tab/>
      </w:r>
      <w:r w:rsidRPr="00C1054E">
        <w:rPr>
          <w:rFonts w:ascii="Arial" w:hAnsi="Arial" w:cs="Arial"/>
          <w:color w:val="000000" w:themeColor="text1"/>
        </w:rPr>
        <w:tab/>
        <w:t xml:space="preserve">Ponente </w:t>
      </w:r>
    </w:p>
    <w:p w14:paraId="3FFE43C7" w14:textId="77777777" w:rsidR="00310418" w:rsidRPr="00C1054E" w:rsidRDefault="00310418" w:rsidP="00310418">
      <w:pPr>
        <w:pStyle w:val="Sinespaciado"/>
        <w:spacing w:line="276" w:lineRule="auto"/>
        <w:jc w:val="both"/>
        <w:rPr>
          <w:rFonts w:ascii="Arial" w:hAnsi="Arial" w:cs="Arial"/>
          <w:color w:val="000000" w:themeColor="text1"/>
        </w:rPr>
      </w:pPr>
    </w:p>
    <w:p w14:paraId="187AEEC1" w14:textId="77777777" w:rsidR="00310418" w:rsidRPr="00C1054E" w:rsidRDefault="00310418" w:rsidP="00310418">
      <w:pPr>
        <w:pStyle w:val="Sinespaciado"/>
        <w:spacing w:line="276" w:lineRule="auto"/>
        <w:jc w:val="both"/>
        <w:rPr>
          <w:rFonts w:ascii="Arial" w:hAnsi="Arial" w:cs="Arial"/>
          <w:color w:val="000000" w:themeColor="text1"/>
        </w:rPr>
      </w:pPr>
    </w:p>
    <w:p w14:paraId="21AFB586" w14:textId="6CD38ED9" w:rsidR="00DD581A" w:rsidRPr="00C1054E" w:rsidRDefault="00DD581A" w:rsidP="00645617">
      <w:pPr>
        <w:spacing w:line="240" w:lineRule="auto"/>
        <w:rPr>
          <w:rFonts w:ascii="Arial" w:hAnsi="Arial" w:cs="Arial"/>
          <w:color w:val="000000" w:themeColor="text1"/>
          <w:sz w:val="24"/>
          <w:szCs w:val="24"/>
        </w:rPr>
      </w:pPr>
    </w:p>
    <w:sectPr w:rsidR="00DD581A" w:rsidRPr="00C1054E" w:rsidSect="008B39C1">
      <w:headerReference w:type="default" r:id="rId14"/>
      <w:footerReference w:type="default" r:id="rId15"/>
      <w:pgSz w:w="12240" w:h="15840"/>
      <w:pgMar w:top="1304" w:right="1304" w:bottom="1304" w:left="1304" w:header="708" w:footer="708"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5F29" w16cex:dateUtc="2022-08-24T1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B394B1" w16cid:durableId="26B05F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866DDE" w14:textId="77777777" w:rsidR="00B820C8" w:rsidRDefault="00B820C8">
      <w:pPr>
        <w:spacing w:after="0" w:line="240" w:lineRule="auto"/>
      </w:pPr>
      <w:r>
        <w:separator/>
      </w:r>
    </w:p>
  </w:endnote>
  <w:endnote w:type="continuationSeparator" w:id="0">
    <w:p w14:paraId="7A70E098" w14:textId="77777777" w:rsidR="00B820C8" w:rsidRDefault="00B8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B1727" w14:textId="77777777" w:rsidR="00D56BF4" w:rsidRDefault="00D56BF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5F044" w14:textId="77777777" w:rsidR="00B820C8" w:rsidRDefault="00B820C8">
      <w:pPr>
        <w:spacing w:after="0" w:line="240" w:lineRule="auto"/>
      </w:pPr>
      <w:r>
        <w:separator/>
      </w:r>
    </w:p>
  </w:footnote>
  <w:footnote w:type="continuationSeparator" w:id="0">
    <w:p w14:paraId="789FABCE" w14:textId="77777777" w:rsidR="00B820C8" w:rsidRDefault="00B820C8">
      <w:pPr>
        <w:spacing w:after="0" w:line="240" w:lineRule="auto"/>
      </w:pPr>
      <w:r>
        <w:continuationSeparator/>
      </w:r>
    </w:p>
  </w:footnote>
  <w:footnote w:id="1">
    <w:p w14:paraId="04B3AB80" w14:textId="77777777" w:rsidR="00D56BF4" w:rsidRPr="005346D6" w:rsidRDefault="00D56BF4" w:rsidP="00D06397">
      <w:pPr>
        <w:pStyle w:val="Textonotapie"/>
        <w:jc w:val="both"/>
        <w:rPr>
          <w:rFonts w:ascii="Arial" w:hAnsi="Arial" w:cs="Arial"/>
          <w:sz w:val="16"/>
          <w:szCs w:val="16"/>
        </w:rPr>
      </w:pPr>
      <w:r w:rsidRPr="00365C9D">
        <w:rPr>
          <w:rFonts w:ascii="Arial" w:eastAsia="Arial" w:hAnsi="Arial" w:cs="Arial"/>
          <w:color w:val="000000"/>
          <w:sz w:val="14"/>
          <w:szCs w:val="24"/>
        </w:rPr>
        <w:footnoteRef/>
      </w:r>
      <w:r w:rsidRPr="00365C9D">
        <w:rPr>
          <w:rFonts w:ascii="Arial" w:eastAsia="Arial" w:hAnsi="Arial" w:cs="Arial"/>
          <w:color w:val="000000"/>
          <w:sz w:val="14"/>
          <w:szCs w:val="24"/>
        </w:rPr>
        <w:t xml:space="preserve"> </w:t>
      </w:r>
      <w:r w:rsidRPr="005346D6">
        <w:rPr>
          <w:rFonts w:ascii="Arial" w:eastAsia="Arial" w:hAnsi="Arial" w:cs="Arial"/>
          <w:color w:val="000000"/>
          <w:sz w:val="16"/>
          <w:szCs w:val="16"/>
        </w:rPr>
        <w:t>Tomado de: https://www.ambitojuridico.com/noticias/analisis/inminente-caos-legal-en-cotizaciones-de-trabajadores-independientes-contratistas</w:t>
      </w:r>
    </w:p>
  </w:footnote>
  <w:footnote w:id="2">
    <w:p w14:paraId="33B513ED" w14:textId="6511C741" w:rsidR="006224E6" w:rsidRDefault="006224E6">
      <w:pPr>
        <w:pStyle w:val="Textonotapie"/>
      </w:pPr>
      <w:r>
        <w:rPr>
          <w:rStyle w:val="Refdenotaalpie"/>
        </w:rPr>
        <w:footnoteRef/>
      </w:r>
      <w:r>
        <w:t xml:space="preserve"> </w:t>
      </w:r>
      <w:r w:rsidRPr="006224E6">
        <w:t>https://www.ugpp.gov.co/Trabajadores-independientes#:~:text=Independiente%20por%20cuenta%20propia%3A%20persona,dividendos%2C%20utilidades%2C%20entre%20otros.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DEA37" w14:textId="59BD0B08" w:rsidR="00D56BF4" w:rsidRDefault="00D56BF4" w:rsidP="00E55D08">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noProof/>
        <w:color w:val="000000"/>
        <w:sz w:val="24"/>
        <w:szCs w:val="24"/>
        <w:lang w:eastAsia="es-CO"/>
      </w:rPr>
      <w:drawing>
        <wp:inline distT="0" distB="0" distL="0" distR="0" wp14:anchorId="445D236C" wp14:editId="0782CD5C">
          <wp:extent cx="2282825" cy="619125"/>
          <wp:effectExtent l="0" t="0" r="3175" b="9525"/>
          <wp:docPr id="19" name="image1.png" descr="https://ci6.googleusercontent.com/proxy/zlNjggHmEUM3SGHxtfzl32D1s964UuhYW16NZCbBLfWtEXOWSFCEb0TCV4AdRydCv5072JJiJgPDBCverSEC_xcepkZNnejHJJ7rPVhE8b68oPq7=s0-d-e1-ft#http://www.camara.gov.co/sites/default/files/logo_camara_1.png"/>
          <wp:cNvGraphicFramePr/>
          <a:graphic xmlns:a="http://schemas.openxmlformats.org/drawingml/2006/main">
            <a:graphicData uri="http://schemas.openxmlformats.org/drawingml/2006/picture">
              <pic:pic xmlns:pic="http://schemas.openxmlformats.org/drawingml/2006/picture">
                <pic:nvPicPr>
                  <pic:cNvPr id="0" name="image1.png" descr="https://ci6.googleusercontent.com/proxy/zlNjggHmEUM3SGHxtfzl32D1s964UuhYW16NZCbBLfWtEXOWSFCEb0TCV4AdRydCv5072JJiJgPDBCverSEC_xcepkZNnejHJJ7rPVhE8b68oPq7=s0-d-e1-ft#http://www.camara.gov.co/sites/default/files/logo_camara_1.png"/>
                  <pic:cNvPicPr preferRelativeResize="0"/>
                </pic:nvPicPr>
                <pic:blipFill>
                  <a:blip r:embed="rId1"/>
                  <a:srcRect/>
                  <a:stretch>
                    <a:fillRect/>
                  </a:stretch>
                </pic:blipFill>
                <pic:spPr>
                  <a:xfrm>
                    <a:off x="0" y="0"/>
                    <a:ext cx="2282825" cy="619125"/>
                  </a:xfrm>
                  <a:prstGeom prst="rect">
                    <a:avLst/>
                  </a:prstGeom>
                  <a:ln/>
                </pic:spPr>
              </pic:pic>
            </a:graphicData>
          </a:graphic>
        </wp:inline>
      </w:drawing>
    </w:r>
  </w:p>
  <w:p w14:paraId="3B2F44D4" w14:textId="77777777" w:rsidR="00D56BF4" w:rsidRDefault="00D56BF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D344B"/>
    <w:multiLevelType w:val="multilevel"/>
    <w:tmpl w:val="AB4AB918"/>
    <w:lvl w:ilvl="0">
      <w:start w:val="1"/>
      <w:numFmt w:val="bullet"/>
      <w:lvlText w:val="-"/>
      <w:lvlJc w:val="left"/>
      <w:pPr>
        <w:ind w:left="720" w:hanging="360"/>
      </w:pPr>
      <w:rPr>
        <w:rFonts w:ascii="Bookman Old Style" w:eastAsia="Bookman Old Style" w:hAnsi="Bookman Old Style" w:cs="Bookman Old Styl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B7D6763"/>
    <w:multiLevelType w:val="hybridMultilevel"/>
    <w:tmpl w:val="13AAB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270FF"/>
    <w:multiLevelType w:val="hybridMultilevel"/>
    <w:tmpl w:val="4DA89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AA2E0A"/>
    <w:multiLevelType w:val="hybridMultilevel"/>
    <w:tmpl w:val="FD7ACEF4"/>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FBE1C1E"/>
    <w:multiLevelType w:val="multilevel"/>
    <w:tmpl w:val="E4CE731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11A92449"/>
    <w:multiLevelType w:val="multilevel"/>
    <w:tmpl w:val="8A9644C2"/>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8D3123"/>
    <w:multiLevelType w:val="hybridMultilevel"/>
    <w:tmpl w:val="E71CE2D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F6357"/>
    <w:multiLevelType w:val="multilevel"/>
    <w:tmpl w:val="A8DEB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16CC442A"/>
    <w:multiLevelType w:val="multilevel"/>
    <w:tmpl w:val="A3F211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6D06D7D"/>
    <w:multiLevelType w:val="multilevel"/>
    <w:tmpl w:val="A6A0C1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BE15F5"/>
    <w:multiLevelType w:val="multilevel"/>
    <w:tmpl w:val="27BCE2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6C53E8"/>
    <w:multiLevelType w:val="multilevel"/>
    <w:tmpl w:val="A6A0C1F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894929"/>
    <w:multiLevelType w:val="hybridMultilevel"/>
    <w:tmpl w:val="045E08BA"/>
    <w:lvl w:ilvl="0" w:tplc="C744F802">
      <w:numFmt w:val="bullet"/>
      <w:lvlText w:val="•"/>
      <w:lvlJc w:val="left"/>
      <w:pPr>
        <w:ind w:left="721" w:hanging="620"/>
      </w:pPr>
      <w:rPr>
        <w:rFonts w:ascii="Arial" w:eastAsia="Arial MT" w:hAnsi="Arial" w:cs="Aria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3">
    <w:nsid w:val="2224020D"/>
    <w:multiLevelType w:val="multilevel"/>
    <w:tmpl w:val="D9B6D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4951627"/>
    <w:multiLevelType w:val="hybridMultilevel"/>
    <w:tmpl w:val="8F705EE8"/>
    <w:lvl w:ilvl="0" w:tplc="77207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05542D"/>
    <w:multiLevelType w:val="multilevel"/>
    <w:tmpl w:val="0088C5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B755C30"/>
    <w:multiLevelType w:val="hybridMultilevel"/>
    <w:tmpl w:val="860845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943F2F"/>
    <w:multiLevelType w:val="multilevel"/>
    <w:tmpl w:val="737616DA"/>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8">
    <w:nsid w:val="38805292"/>
    <w:multiLevelType w:val="multilevel"/>
    <w:tmpl w:val="70A4DFF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0C15AF5"/>
    <w:multiLevelType w:val="hybridMultilevel"/>
    <w:tmpl w:val="E020A90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0002B3"/>
    <w:multiLevelType w:val="multilevel"/>
    <w:tmpl w:val="89121E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46B7813"/>
    <w:multiLevelType w:val="hybridMultilevel"/>
    <w:tmpl w:val="2806EEF0"/>
    <w:lvl w:ilvl="0" w:tplc="3D80C586">
      <w:start w:val="2"/>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9FB57DF"/>
    <w:multiLevelType w:val="multilevel"/>
    <w:tmpl w:val="B33A6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D8D6078"/>
    <w:multiLevelType w:val="multilevel"/>
    <w:tmpl w:val="BC3CE2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1D4005"/>
    <w:multiLevelType w:val="multilevel"/>
    <w:tmpl w:val="88BAA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542268DE"/>
    <w:multiLevelType w:val="hybridMultilevel"/>
    <w:tmpl w:val="A4780C4E"/>
    <w:lvl w:ilvl="0" w:tplc="04090017">
      <w:start w:val="1"/>
      <w:numFmt w:val="lowerLetter"/>
      <w:lvlText w:val="%1)"/>
      <w:lvlJc w:val="left"/>
      <w:pPr>
        <w:ind w:left="7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nsid w:val="5A024F89"/>
    <w:multiLevelType w:val="multilevel"/>
    <w:tmpl w:val="F0242544"/>
    <w:lvl w:ilvl="0">
      <w:start w:val="2"/>
      <w:numFmt w:val="decimal"/>
      <w:lvlText w:val="%1."/>
      <w:lvlJc w:val="left"/>
      <w:pPr>
        <w:ind w:left="360" w:hanging="360"/>
      </w:pPr>
      <w:rPr>
        <w:b/>
      </w:rPr>
    </w:lvl>
    <w:lvl w:ilvl="1">
      <w:start w:val="2"/>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7">
    <w:nsid w:val="677B2146"/>
    <w:multiLevelType w:val="hybridMultilevel"/>
    <w:tmpl w:val="714C0E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E24C7"/>
    <w:multiLevelType w:val="hybridMultilevel"/>
    <w:tmpl w:val="0DE690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706530AD"/>
    <w:multiLevelType w:val="hybridMultilevel"/>
    <w:tmpl w:val="194A7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2525AA"/>
    <w:multiLevelType w:val="hybridMultilevel"/>
    <w:tmpl w:val="32869F04"/>
    <w:lvl w:ilvl="0" w:tplc="04090017">
      <w:start w:val="1"/>
      <w:numFmt w:val="lowerLetter"/>
      <w:lvlText w:val="%1)"/>
      <w:lvlJc w:val="left"/>
      <w:pPr>
        <w:ind w:left="72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nsid w:val="74B34E00"/>
    <w:multiLevelType w:val="multilevel"/>
    <w:tmpl w:val="56C41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75517C6D"/>
    <w:multiLevelType w:val="multilevel"/>
    <w:tmpl w:val="5606AC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75FE63DA"/>
    <w:multiLevelType w:val="hybridMultilevel"/>
    <w:tmpl w:val="C36A6F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9405C1"/>
    <w:multiLevelType w:val="hybridMultilevel"/>
    <w:tmpl w:val="194A75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A2533E5"/>
    <w:multiLevelType w:val="multilevel"/>
    <w:tmpl w:val="11E4D4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BF66641"/>
    <w:multiLevelType w:val="hybridMultilevel"/>
    <w:tmpl w:val="0DE69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967B0C"/>
    <w:multiLevelType w:val="hybridMultilevel"/>
    <w:tmpl w:val="860845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
  </w:num>
  <w:num w:numId="5">
    <w:abstractNumId w:val="6"/>
  </w:num>
  <w:num w:numId="6">
    <w:abstractNumId w:val="1"/>
  </w:num>
  <w:num w:numId="7">
    <w:abstractNumId w:val="23"/>
  </w:num>
  <w:num w:numId="8">
    <w:abstractNumId w:val="16"/>
  </w:num>
  <w:num w:numId="9">
    <w:abstractNumId w:val="27"/>
  </w:num>
  <w:num w:numId="10">
    <w:abstractNumId w:val="19"/>
  </w:num>
  <w:num w:numId="11">
    <w:abstractNumId w:val="36"/>
  </w:num>
  <w:num w:numId="12">
    <w:abstractNumId w:val="29"/>
  </w:num>
  <w:num w:numId="13">
    <w:abstractNumId w:val="37"/>
  </w:num>
  <w:num w:numId="14">
    <w:abstractNumId w:val="30"/>
  </w:num>
  <w:num w:numId="15">
    <w:abstractNumId w:val="28"/>
  </w:num>
  <w:num w:numId="16">
    <w:abstractNumId w:val="34"/>
  </w:num>
  <w:num w:numId="17">
    <w:abstractNumId w:val="25"/>
  </w:num>
  <w:num w:numId="18">
    <w:abstractNumId w:val="33"/>
  </w:num>
  <w:num w:numId="19">
    <w:abstractNumId w:val="3"/>
  </w:num>
  <w:num w:numId="20">
    <w:abstractNumId w:val="20"/>
  </w:num>
  <w:num w:numId="21">
    <w:abstractNumId w:val="10"/>
  </w:num>
  <w:num w:numId="22">
    <w:abstractNumId w:val="8"/>
  </w:num>
  <w:num w:numId="23">
    <w:abstractNumId w:val="24"/>
  </w:num>
  <w:num w:numId="24">
    <w:abstractNumId w:val="32"/>
  </w:num>
  <w:num w:numId="25">
    <w:abstractNumId w:val="22"/>
  </w:num>
  <w:num w:numId="26">
    <w:abstractNumId w:val="0"/>
  </w:num>
  <w:num w:numId="27">
    <w:abstractNumId w:val="15"/>
  </w:num>
  <w:num w:numId="28">
    <w:abstractNumId w:val="13"/>
  </w:num>
  <w:num w:numId="29">
    <w:abstractNumId w:val="9"/>
  </w:num>
  <w:num w:numId="30">
    <w:abstractNumId w:val="26"/>
  </w:num>
  <w:num w:numId="31">
    <w:abstractNumId w:val="4"/>
  </w:num>
  <w:num w:numId="32">
    <w:abstractNumId w:val="7"/>
  </w:num>
  <w:num w:numId="33">
    <w:abstractNumId w:val="31"/>
  </w:num>
  <w:num w:numId="34">
    <w:abstractNumId w:val="21"/>
  </w:num>
  <w:num w:numId="35">
    <w:abstractNumId w:val="11"/>
  </w:num>
  <w:num w:numId="36">
    <w:abstractNumId w:val="5"/>
  </w:num>
  <w:num w:numId="37">
    <w:abstractNumId w:val="17"/>
  </w:num>
  <w:num w:numId="38">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D91"/>
    <w:rsid w:val="000020C3"/>
    <w:rsid w:val="00002A19"/>
    <w:rsid w:val="00013C0B"/>
    <w:rsid w:val="00034741"/>
    <w:rsid w:val="0004500F"/>
    <w:rsid w:val="00046E0B"/>
    <w:rsid w:val="00051C85"/>
    <w:rsid w:val="000663F3"/>
    <w:rsid w:val="00070B67"/>
    <w:rsid w:val="00070E7C"/>
    <w:rsid w:val="00070FF5"/>
    <w:rsid w:val="00072E4E"/>
    <w:rsid w:val="00081BD3"/>
    <w:rsid w:val="00085A27"/>
    <w:rsid w:val="00086600"/>
    <w:rsid w:val="00086E82"/>
    <w:rsid w:val="00094971"/>
    <w:rsid w:val="00094A05"/>
    <w:rsid w:val="000A5C76"/>
    <w:rsid w:val="000A6C3D"/>
    <w:rsid w:val="000A7F85"/>
    <w:rsid w:val="000B2D36"/>
    <w:rsid w:val="000B5DB1"/>
    <w:rsid w:val="000C045F"/>
    <w:rsid w:val="000C4102"/>
    <w:rsid w:val="000C5BCE"/>
    <w:rsid w:val="000E4515"/>
    <w:rsid w:val="000E7E35"/>
    <w:rsid w:val="000F01CA"/>
    <w:rsid w:val="000F077E"/>
    <w:rsid w:val="000F0FFF"/>
    <w:rsid w:val="000F5AAB"/>
    <w:rsid w:val="000F60C6"/>
    <w:rsid w:val="000F627E"/>
    <w:rsid w:val="001011E6"/>
    <w:rsid w:val="00106540"/>
    <w:rsid w:val="0011393E"/>
    <w:rsid w:val="001143E1"/>
    <w:rsid w:val="00120C15"/>
    <w:rsid w:val="00125ECF"/>
    <w:rsid w:val="0015200E"/>
    <w:rsid w:val="0015389F"/>
    <w:rsid w:val="00161A49"/>
    <w:rsid w:val="00176EAE"/>
    <w:rsid w:val="00186014"/>
    <w:rsid w:val="0018779A"/>
    <w:rsid w:val="001A171F"/>
    <w:rsid w:val="001A28B8"/>
    <w:rsid w:val="001A4C0F"/>
    <w:rsid w:val="001A72A7"/>
    <w:rsid w:val="001B13DB"/>
    <w:rsid w:val="001B698A"/>
    <w:rsid w:val="001B7134"/>
    <w:rsid w:val="001D32EA"/>
    <w:rsid w:val="001D567D"/>
    <w:rsid w:val="001E1691"/>
    <w:rsid w:val="001E57A6"/>
    <w:rsid w:val="001F2153"/>
    <w:rsid w:val="001F507D"/>
    <w:rsid w:val="001F7DA4"/>
    <w:rsid w:val="00201207"/>
    <w:rsid w:val="002055C6"/>
    <w:rsid w:val="00210294"/>
    <w:rsid w:val="00211227"/>
    <w:rsid w:val="00215D9B"/>
    <w:rsid w:val="00224CE5"/>
    <w:rsid w:val="0022766A"/>
    <w:rsid w:val="0023059A"/>
    <w:rsid w:val="002336BF"/>
    <w:rsid w:val="00241B1E"/>
    <w:rsid w:val="002476E6"/>
    <w:rsid w:val="00260856"/>
    <w:rsid w:val="00265ACF"/>
    <w:rsid w:val="00275830"/>
    <w:rsid w:val="00282509"/>
    <w:rsid w:val="00291533"/>
    <w:rsid w:val="002934DA"/>
    <w:rsid w:val="002949E4"/>
    <w:rsid w:val="002971DB"/>
    <w:rsid w:val="002A1F8A"/>
    <w:rsid w:val="002B59EF"/>
    <w:rsid w:val="002C07E1"/>
    <w:rsid w:val="002C278F"/>
    <w:rsid w:val="002C3E78"/>
    <w:rsid w:val="002C4764"/>
    <w:rsid w:val="002D0874"/>
    <w:rsid w:val="002D3967"/>
    <w:rsid w:val="0030120C"/>
    <w:rsid w:val="00304538"/>
    <w:rsid w:val="00306040"/>
    <w:rsid w:val="00310418"/>
    <w:rsid w:val="00314700"/>
    <w:rsid w:val="0032137B"/>
    <w:rsid w:val="00322374"/>
    <w:rsid w:val="00345CCF"/>
    <w:rsid w:val="00350B7E"/>
    <w:rsid w:val="00357D17"/>
    <w:rsid w:val="00365C9D"/>
    <w:rsid w:val="003707F0"/>
    <w:rsid w:val="003730F7"/>
    <w:rsid w:val="00375065"/>
    <w:rsid w:val="00375D51"/>
    <w:rsid w:val="00377DC4"/>
    <w:rsid w:val="003812BA"/>
    <w:rsid w:val="003817A2"/>
    <w:rsid w:val="00383271"/>
    <w:rsid w:val="00393607"/>
    <w:rsid w:val="00397C34"/>
    <w:rsid w:val="003A030F"/>
    <w:rsid w:val="003A42A5"/>
    <w:rsid w:val="003A6BBC"/>
    <w:rsid w:val="003D0DFB"/>
    <w:rsid w:val="003D11D9"/>
    <w:rsid w:val="003D506E"/>
    <w:rsid w:val="003E4E16"/>
    <w:rsid w:val="003F3EEE"/>
    <w:rsid w:val="003F743E"/>
    <w:rsid w:val="00400F8B"/>
    <w:rsid w:val="00401494"/>
    <w:rsid w:val="00403F90"/>
    <w:rsid w:val="004144B4"/>
    <w:rsid w:val="00417EF5"/>
    <w:rsid w:val="0042538D"/>
    <w:rsid w:val="00447E62"/>
    <w:rsid w:val="00451F62"/>
    <w:rsid w:val="0045384F"/>
    <w:rsid w:val="00456342"/>
    <w:rsid w:val="00463081"/>
    <w:rsid w:val="00466BBE"/>
    <w:rsid w:val="00477035"/>
    <w:rsid w:val="00481ABC"/>
    <w:rsid w:val="0048438D"/>
    <w:rsid w:val="0048545C"/>
    <w:rsid w:val="00486BA4"/>
    <w:rsid w:val="00487AA0"/>
    <w:rsid w:val="00487FFE"/>
    <w:rsid w:val="0049375B"/>
    <w:rsid w:val="004975E7"/>
    <w:rsid w:val="00497BED"/>
    <w:rsid w:val="004A09FD"/>
    <w:rsid w:val="004A7DAC"/>
    <w:rsid w:val="004B6108"/>
    <w:rsid w:val="004C16E1"/>
    <w:rsid w:val="004C2D45"/>
    <w:rsid w:val="004C4F86"/>
    <w:rsid w:val="004D0639"/>
    <w:rsid w:val="004D290A"/>
    <w:rsid w:val="004D78E0"/>
    <w:rsid w:val="004E1C73"/>
    <w:rsid w:val="004E458C"/>
    <w:rsid w:val="004E76F7"/>
    <w:rsid w:val="004F03B9"/>
    <w:rsid w:val="004F1A8B"/>
    <w:rsid w:val="00504CB2"/>
    <w:rsid w:val="00507D55"/>
    <w:rsid w:val="005108E0"/>
    <w:rsid w:val="00524142"/>
    <w:rsid w:val="005243DC"/>
    <w:rsid w:val="005263A5"/>
    <w:rsid w:val="005276A3"/>
    <w:rsid w:val="00527AEA"/>
    <w:rsid w:val="00534410"/>
    <w:rsid w:val="005346EF"/>
    <w:rsid w:val="00534A39"/>
    <w:rsid w:val="00536212"/>
    <w:rsid w:val="0053740A"/>
    <w:rsid w:val="005443FA"/>
    <w:rsid w:val="00551C47"/>
    <w:rsid w:val="00556194"/>
    <w:rsid w:val="00557BF0"/>
    <w:rsid w:val="0056445E"/>
    <w:rsid w:val="00566E34"/>
    <w:rsid w:val="00573385"/>
    <w:rsid w:val="00575980"/>
    <w:rsid w:val="005861C4"/>
    <w:rsid w:val="00587F5A"/>
    <w:rsid w:val="00594AF7"/>
    <w:rsid w:val="005974BC"/>
    <w:rsid w:val="005A11DD"/>
    <w:rsid w:val="005A14EF"/>
    <w:rsid w:val="005A32EF"/>
    <w:rsid w:val="005B22E7"/>
    <w:rsid w:val="005B4419"/>
    <w:rsid w:val="005B4B52"/>
    <w:rsid w:val="005D4458"/>
    <w:rsid w:val="005E1B93"/>
    <w:rsid w:val="005E5A53"/>
    <w:rsid w:val="00600EBC"/>
    <w:rsid w:val="0060309D"/>
    <w:rsid w:val="00604223"/>
    <w:rsid w:val="006224E6"/>
    <w:rsid w:val="00624C46"/>
    <w:rsid w:val="00625B58"/>
    <w:rsid w:val="00631574"/>
    <w:rsid w:val="006331C9"/>
    <w:rsid w:val="00645617"/>
    <w:rsid w:val="0065278F"/>
    <w:rsid w:val="00655DD7"/>
    <w:rsid w:val="006561A0"/>
    <w:rsid w:val="00662B5C"/>
    <w:rsid w:val="00665721"/>
    <w:rsid w:val="00666FAB"/>
    <w:rsid w:val="00676635"/>
    <w:rsid w:val="0068239D"/>
    <w:rsid w:val="006848E9"/>
    <w:rsid w:val="00684AED"/>
    <w:rsid w:val="00686327"/>
    <w:rsid w:val="0069108F"/>
    <w:rsid w:val="00692864"/>
    <w:rsid w:val="00692871"/>
    <w:rsid w:val="0069361D"/>
    <w:rsid w:val="00694878"/>
    <w:rsid w:val="006A1E91"/>
    <w:rsid w:val="006A48F4"/>
    <w:rsid w:val="006A7E99"/>
    <w:rsid w:val="006C0F9D"/>
    <w:rsid w:val="006C54AE"/>
    <w:rsid w:val="006C628B"/>
    <w:rsid w:val="006D07B3"/>
    <w:rsid w:val="006D5555"/>
    <w:rsid w:val="006D5F1F"/>
    <w:rsid w:val="006D77F3"/>
    <w:rsid w:val="006E4579"/>
    <w:rsid w:val="006E789B"/>
    <w:rsid w:val="006F1CFC"/>
    <w:rsid w:val="007000D9"/>
    <w:rsid w:val="00700994"/>
    <w:rsid w:val="0070369C"/>
    <w:rsid w:val="00711EF3"/>
    <w:rsid w:val="00714C4C"/>
    <w:rsid w:val="00716AA0"/>
    <w:rsid w:val="0073210F"/>
    <w:rsid w:val="00732379"/>
    <w:rsid w:val="00732A2B"/>
    <w:rsid w:val="00733AEA"/>
    <w:rsid w:val="00742DC3"/>
    <w:rsid w:val="00754030"/>
    <w:rsid w:val="007562FE"/>
    <w:rsid w:val="00757EDC"/>
    <w:rsid w:val="00762C5A"/>
    <w:rsid w:val="00764921"/>
    <w:rsid w:val="007670E3"/>
    <w:rsid w:val="00767BE6"/>
    <w:rsid w:val="00791DE4"/>
    <w:rsid w:val="00792408"/>
    <w:rsid w:val="00793E91"/>
    <w:rsid w:val="007A6A16"/>
    <w:rsid w:val="007B32B9"/>
    <w:rsid w:val="007C0176"/>
    <w:rsid w:val="007C2286"/>
    <w:rsid w:val="007C2A28"/>
    <w:rsid w:val="007C3604"/>
    <w:rsid w:val="007C5253"/>
    <w:rsid w:val="007E25DF"/>
    <w:rsid w:val="007E4DE8"/>
    <w:rsid w:val="007F2B63"/>
    <w:rsid w:val="007F5670"/>
    <w:rsid w:val="007F61AF"/>
    <w:rsid w:val="008065CC"/>
    <w:rsid w:val="00806633"/>
    <w:rsid w:val="008070E8"/>
    <w:rsid w:val="008121CC"/>
    <w:rsid w:val="00820A1A"/>
    <w:rsid w:val="008213FE"/>
    <w:rsid w:val="00822A10"/>
    <w:rsid w:val="0082400D"/>
    <w:rsid w:val="00826CF2"/>
    <w:rsid w:val="00827422"/>
    <w:rsid w:val="00842E71"/>
    <w:rsid w:val="008446A0"/>
    <w:rsid w:val="008568B8"/>
    <w:rsid w:val="00866811"/>
    <w:rsid w:val="008723FC"/>
    <w:rsid w:val="00882827"/>
    <w:rsid w:val="00886FBF"/>
    <w:rsid w:val="00887F49"/>
    <w:rsid w:val="00890559"/>
    <w:rsid w:val="008A3A0F"/>
    <w:rsid w:val="008A3C0D"/>
    <w:rsid w:val="008A4986"/>
    <w:rsid w:val="008A6FE3"/>
    <w:rsid w:val="008B1274"/>
    <w:rsid w:val="008B39C1"/>
    <w:rsid w:val="008C0A52"/>
    <w:rsid w:val="008C1842"/>
    <w:rsid w:val="008D61AD"/>
    <w:rsid w:val="008D6361"/>
    <w:rsid w:val="008E2F65"/>
    <w:rsid w:val="008F1961"/>
    <w:rsid w:val="00913B2B"/>
    <w:rsid w:val="0092162C"/>
    <w:rsid w:val="00921EB5"/>
    <w:rsid w:val="0092301D"/>
    <w:rsid w:val="009349F1"/>
    <w:rsid w:val="009454BC"/>
    <w:rsid w:val="009457AE"/>
    <w:rsid w:val="00946A72"/>
    <w:rsid w:val="009473DF"/>
    <w:rsid w:val="00947788"/>
    <w:rsid w:val="00953D99"/>
    <w:rsid w:val="00962E2A"/>
    <w:rsid w:val="00964CA1"/>
    <w:rsid w:val="009650AB"/>
    <w:rsid w:val="00966B74"/>
    <w:rsid w:val="00971165"/>
    <w:rsid w:val="00972099"/>
    <w:rsid w:val="0097522F"/>
    <w:rsid w:val="00982D36"/>
    <w:rsid w:val="00983B4C"/>
    <w:rsid w:val="00984D58"/>
    <w:rsid w:val="009913FD"/>
    <w:rsid w:val="00992D91"/>
    <w:rsid w:val="009A2C2D"/>
    <w:rsid w:val="009A53CD"/>
    <w:rsid w:val="009C45E3"/>
    <w:rsid w:val="009D28E2"/>
    <w:rsid w:val="009D5BDB"/>
    <w:rsid w:val="009E779A"/>
    <w:rsid w:val="009E7EAE"/>
    <w:rsid w:val="009F2AAE"/>
    <w:rsid w:val="009F6232"/>
    <w:rsid w:val="009F6786"/>
    <w:rsid w:val="00A029AD"/>
    <w:rsid w:val="00A146C1"/>
    <w:rsid w:val="00A37B92"/>
    <w:rsid w:val="00A37CE8"/>
    <w:rsid w:val="00A40A78"/>
    <w:rsid w:val="00A40E16"/>
    <w:rsid w:val="00A417CB"/>
    <w:rsid w:val="00A507E6"/>
    <w:rsid w:val="00A50807"/>
    <w:rsid w:val="00A53417"/>
    <w:rsid w:val="00A54754"/>
    <w:rsid w:val="00A5639F"/>
    <w:rsid w:val="00A61E5C"/>
    <w:rsid w:val="00A637CD"/>
    <w:rsid w:val="00A64F04"/>
    <w:rsid w:val="00A65949"/>
    <w:rsid w:val="00A6690D"/>
    <w:rsid w:val="00A73C3D"/>
    <w:rsid w:val="00A75202"/>
    <w:rsid w:val="00A77316"/>
    <w:rsid w:val="00A83C96"/>
    <w:rsid w:val="00A905CE"/>
    <w:rsid w:val="00A93114"/>
    <w:rsid w:val="00AA0F18"/>
    <w:rsid w:val="00AA5B99"/>
    <w:rsid w:val="00AB27D0"/>
    <w:rsid w:val="00AC4998"/>
    <w:rsid w:val="00AD279A"/>
    <w:rsid w:val="00AD59F2"/>
    <w:rsid w:val="00AE3937"/>
    <w:rsid w:val="00AE7C6C"/>
    <w:rsid w:val="00AF22A0"/>
    <w:rsid w:val="00AF5C2E"/>
    <w:rsid w:val="00B07DB6"/>
    <w:rsid w:val="00B1248E"/>
    <w:rsid w:val="00B14C5E"/>
    <w:rsid w:val="00B20A47"/>
    <w:rsid w:val="00B21316"/>
    <w:rsid w:val="00B25DB7"/>
    <w:rsid w:val="00B31ED5"/>
    <w:rsid w:val="00B40D29"/>
    <w:rsid w:val="00B415B5"/>
    <w:rsid w:val="00B468E2"/>
    <w:rsid w:val="00B51228"/>
    <w:rsid w:val="00B51738"/>
    <w:rsid w:val="00B600C4"/>
    <w:rsid w:val="00B66BDF"/>
    <w:rsid w:val="00B746AE"/>
    <w:rsid w:val="00B75A72"/>
    <w:rsid w:val="00B75ACB"/>
    <w:rsid w:val="00B75BCF"/>
    <w:rsid w:val="00B820C8"/>
    <w:rsid w:val="00B8369F"/>
    <w:rsid w:val="00B9563D"/>
    <w:rsid w:val="00BA2B9D"/>
    <w:rsid w:val="00BA52DE"/>
    <w:rsid w:val="00BA54E0"/>
    <w:rsid w:val="00BB3515"/>
    <w:rsid w:val="00BB5DF7"/>
    <w:rsid w:val="00BB7755"/>
    <w:rsid w:val="00BC4EA9"/>
    <w:rsid w:val="00BC526F"/>
    <w:rsid w:val="00BC5939"/>
    <w:rsid w:val="00BD6C4B"/>
    <w:rsid w:val="00BE0F0B"/>
    <w:rsid w:val="00BE3AA2"/>
    <w:rsid w:val="00BE518E"/>
    <w:rsid w:val="00BE67B2"/>
    <w:rsid w:val="00BE6A25"/>
    <w:rsid w:val="00C053FC"/>
    <w:rsid w:val="00C1054E"/>
    <w:rsid w:val="00C1620D"/>
    <w:rsid w:val="00C16D5A"/>
    <w:rsid w:val="00C21742"/>
    <w:rsid w:val="00C21D39"/>
    <w:rsid w:val="00C273C2"/>
    <w:rsid w:val="00C35AFB"/>
    <w:rsid w:val="00C43BD3"/>
    <w:rsid w:val="00C52241"/>
    <w:rsid w:val="00C55A65"/>
    <w:rsid w:val="00C60804"/>
    <w:rsid w:val="00C778CF"/>
    <w:rsid w:val="00C80E83"/>
    <w:rsid w:val="00C812D2"/>
    <w:rsid w:val="00C82D0B"/>
    <w:rsid w:val="00C84B9C"/>
    <w:rsid w:val="00C908F3"/>
    <w:rsid w:val="00C924DC"/>
    <w:rsid w:val="00C94775"/>
    <w:rsid w:val="00C95A43"/>
    <w:rsid w:val="00CA2D85"/>
    <w:rsid w:val="00CA64C0"/>
    <w:rsid w:val="00CA64FD"/>
    <w:rsid w:val="00CB1643"/>
    <w:rsid w:val="00CB1D61"/>
    <w:rsid w:val="00CB2BFE"/>
    <w:rsid w:val="00CC500A"/>
    <w:rsid w:val="00CC5F3D"/>
    <w:rsid w:val="00CD017A"/>
    <w:rsid w:val="00CD7DED"/>
    <w:rsid w:val="00CE0760"/>
    <w:rsid w:val="00CF21A1"/>
    <w:rsid w:val="00CF3045"/>
    <w:rsid w:val="00CF5366"/>
    <w:rsid w:val="00D046A5"/>
    <w:rsid w:val="00D06397"/>
    <w:rsid w:val="00D211D1"/>
    <w:rsid w:val="00D23A1A"/>
    <w:rsid w:val="00D2789C"/>
    <w:rsid w:val="00D2799C"/>
    <w:rsid w:val="00D30B92"/>
    <w:rsid w:val="00D43706"/>
    <w:rsid w:val="00D5364C"/>
    <w:rsid w:val="00D54658"/>
    <w:rsid w:val="00D5657F"/>
    <w:rsid w:val="00D56BF4"/>
    <w:rsid w:val="00D6549C"/>
    <w:rsid w:val="00D77AA9"/>
    <w:rsid w:val="00D801FA"/>
    <w:rsid w:val="00D8028E"/>
    <w:rsid w:val="00D867C3"/>
    <w:rsid w:val="00D97087"/>
    <w:rsid w:val="00DA70F0"/>
    <w:rsid w:val="00DB0668"/>
    <w:rsid w:val="00DB7C55"/>
    <w:rsid w:val="00DC052E"/>
    <w:rsid w:val="00DC64A5"/>
    <w:rsid w:val="00DD2916"/>
    <w:rsid w:val="00DD581A"/>
    <w:rsid w:val="00DE4CA8"/>
    <w:rsid w:val="00DE5990"/>
    <w:rsid w:val="00DF13CE"/>
    <w:rsid w:val="00E1356B"/>
    <w:rsid w:val="00E140EB"/>
    <w:rsid w:val="00E1653D"/>
    <w:rsid w:val="00E26509"/>
    <w:rsid w:val="00E26F0F"/>
    <w:rsid w:val="00E2793E"/>
    <w:rsid w:val="00E33C80"/>
    <w:rsid w:val="00E47C5F"/>
    <w:rsid w:val="00E5076D"/>
    <w:rsid w:val="00E53649"/>
    <w:rsid w:val="00E55D08"/>
    <w:rsid w:val="00E67408"/>
    <w:rsid w:val="00E70C7A"/>
    <w:rsid w:val="00E75A7A"/>
    <w:rsid w:val="00E767DA"/>
    <w:rsid w:val="00E86FE7"/>
    <w:rsid w:val="00E8758C"/>
    <w:rsid w:val="00E87A54"/>
    <w:rsid w:val="00E96A5D"/>
    <w:rsid w:val="00EA3BFE"/>
    <w:rsid w:val="00EC5D02"/>
    <w:rsid w:val="00EC7E81"/>
    <w:rsid w:val="00ED0839"/>
    <w:rsid w:val="00ED0E43"/>
    <w:rsid w:val="00ED3B35"/>
    <w:rsid w:val="00ED3C16"/>
    <w:rsid w:val="00ED52D3"/>
    <w:rsid w:val="00EE2CE8"/>
    <w:rsid w:val="00EE5672"/>
    <w:rsid w:val="00EF1ADF"/>
    <w:rsid w:val="00EF5D58"/>
    <w:rsid w:val="00F01515"/>
    <w:rsid w:val="00F02979"/>
    <w:rsid w:val="00F0314D"/>
    <w:rsid w:val="00F126D3"/>
    <w:rsid w:val="00F2278A"/>
    <w:rsid w:val="00F257FC"/>
    <w:rsid w:val="00F3248B"/>
    <w:rsid w:val="00F3362F"/>
    <w:rsid w:val="00F34AE6"/>
    <w:rsid w:val="00F429E4"/>
    <w:rsid w:val="00F42A49"/>
    <w:rsid w:val="00F430B9"/>
    <w:rsid w:val="00F47062"/>
    <w:rsid w:val="00F506E7"/>
    <w:rsid w:val="00F50C2C"/>
    <w:rsid w:val="00F53264"/>
    <w:rsid w:val="00F5390F"/>
    <w:rsid w:val="00F548A7"/>
    <w:rsid w:val="00F551CB"/>
    <w:rsid w:val="00F628B5"/>
    <w:rsid w:val="00F7203D"/>
    <w:rsid w:val="00F75B8F"/>
    <w:rsid w:val="00F8138A"/>
    <w:rsid w:val="00F81B29"/>
    <w:rsid w:val="00F8227C"/>
    <w:rsid w:val="00F837AE"/>
    <w:rsid w:val="00F85753"/>
    <w:rsid w:val="00F86C55"/>
    <w:rsid w:val="00F94EAB"/>
    <w:rsid w:val="00FA3906"/>
    <w:rsid w:val="00FA4819"/>
    <w:rsid w:val="00FB34D8"/>
    <w:rsid w:val="00FC1FDA"/>
    <w:rsid w:val="00FC4E13"/>
    <w:rsid w:val="00FD1B99"/>
    <w:rsid w:val="00FD7284"/>
    <w:rsid w:val="00FE0821"/>
    <w:rsid w:val="00FE4A73"/>
    <w:rsid w:val="00FE5D38"/>
    <w:rsid w:val="00FE7957"/>
    <w:rsid w:val="00FF30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AE"/>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rsid w:val="00845E40"/>
    <w:pPr>
      <w:keepNext/>
      <w:keepLines/>
      <w:spacing w:before="200" w:after="280" w:line="240" w:lineRule="auto"/>
      <w:outlineLvl w:val="3"/>
    </w:pPr>
    <w:rPr>
      <w:rFonts w:ascii="Cambria" w:hAnsi="Cambria" w:cs="Times New Roman"/>
      <w:b/>
      <w:bCs/>
      <w:i/>
      <w:iCs/>
      <w:color w:val="4F81BD"/>
      <w:lang w:val="es-ES_tradnl"/>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2B7BE8"/>
    <w:pPr>
      <w:spacing w:after="0" w:line="240" w:lineRule="auto"/>
    </w:pPr>
    <w:rPr>
      <w:sz w:val="20"/>
      <w:szCs w:val="20"/>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2B7BE8"/>
    <w:rPr>
      <w:sz w:val="20"/>
      <w:szCs w:val="20"/>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2B7BE8"/>
    <w:rPr>
      <w:vertAlign w:val="superscript"/>
    </w:rPr>
  </w:style>
  <w:style w:type="paragraph" w:styleId="Prrafodelista">
    <w:name w:val="List Paragraph"/>
    <w:basedOn w:val="Normal"/>
    <w:uiPriority w:val="1"/>
    <w:qFormat/>
    <w:rsid w:val="00E51FF1"/>
    <w:pPr>
      <w:ind w:left="720"/>
      <w:contextualSpacing/>
    </w:pPr>
  </w:style>
  <w:style w:type="paragraph" w:styleId="Encabezado">
    <w:name w:val="header"/>
    <w:basedOn w:val="Normal"/>
    <w:link w:val="EncabezadoCar"/>
    <w:uiPriority w:val="99"/>
    <w:unhideWhenUsed/>
    <w:rsid w:val="006A2EB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A2EBD"/>
  </w:style>
  <w:style w:type="paragraph" w:styleId="Piedepgina">
    <w:name w:val="footer"/>
    <w:basedOn w:val="Normal"/>
    <w:link w:val="PiedepginaCar"/>
    <w:unhideWhenUsed/>
    <w:rsid w:val="006A2EBD"/>
    <w:pPr>
      <w:tabs>
        <w:tab w:val="center" w:pos="4680"/>
        <w:tab w:val="right" w:pos="9360"/>
      </w:tabs>
      <w:spacing w:after="0" w:line="240" w:lineRule="auto"/>
    </w:pPr>
  </w:style>
  <w:style w:type="character" w:customStyle="1" w:styleId="PiedepginaCar">
    <w:name w:val="Pie de página Car"/>
    <w:basedOn w:val="Fuentedeprrafopredeter"/>
    <w:link w:val="Piedepgina"/>
    <w:rsid w:val="006A2EBD"/>
  </w:style>
  <w:style w:type="character" w:customStyle="1" w:styleId="Ttulo4Car">
    <w:name w:val="Título 4 Car"/>
    <w:basedOn w:val="Fuentedeprrafopredeter"/>
    <w:link w:val="Ttulo4"/>
    <w:rsid w:val="00845E40"/>
    <w:rPr>
      <w:rFonts w:ascii="Cambria" w:eastAsia="Calibri" w:hAnsi="Cambria" w:cs="Times New Roman"/>
      <w:b/>
      <w:bCs/>
      <w:i/>
      <w:iCs/>
      <w:color w:val="4F81BD"/>
      <w:lang w:val="es-ES_tradnl"/>
    </w:rPr>
  </w:style>
  <w:style w:type="paragraph" w:customStyle="1" w:styleId="Normal2">
    <w:name w:val="Normal2"/>
    <w:rsid w:val="00845E40"/>
    <w:rPr>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628B5"/>
    <w:rPr>
      <w:sz w:val="16"/>
      <w:szCs w:val="16"/>
    </w:rPr>
  </w:style>
  <w:style w:type="paragraph" w:customStyle="1" w:styleId="Cuerpo">
    <w:name w:val="Cuerpo"/>
    <w:rsid w:val="002C07E1"/>
    <w:pPr>
      <w:spacing w:after="0" w:line="240" w:lineRule="auto"/>
    </w:pPr>
    <w:rPr>
      <w:rFonts w:ascii="Times New Roman" w:eastAsia="Arial Unicode MS" w:hAnsi="Times New Roman" w:cs="Arial Unicode MS"/>
      <w:color w:val="000000"/>
      <w:sz w:val="24"/>
      <w:szCs w:val="24"/>
      <w:u w:color="000000"/>
      <w:lang w:val="es-ES_tradnl" w:eastAsia="es-ES_tradnl"/>
    </w:rPr>
  </w:style>
  <w:style w:type="character" w:customStyle="1" w:styleId="Ninguno">
    <w:name w:val="Ninguno"/>
    <w:rsid w:val="002C07E1"/>
    <w:rPr>
      <w:lang w:val="en-US"/>
    </w:rPr>
  </w:style>
  <w:style w:type="table" w:styleId="Tablaconcuadrcula">
    <w:name w:val="Table Grid"/>
    <w:basedOn w:val="Tablanormal"/>
    <w:uiPriority w:val="39"/>
    <w:rsid w:val="002C07E1"/>
    <w:pPr>
      <w:spacing w:after="0" w:line="240" w:lineRule="auto"/>
    </w:pPr>
    <w:rPr>
      <w:rFonts w:asciiTheme="minorHAnsi" w:eastAsiaTheme="minorHAnsi" w:hAnsiTheme="minorHAnsi" w:cstheme="minorBidi"/>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94A05"/>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094A05"/>
    <w:rPr>
      <w:rFonts w:ascii="Arial MT" w:eastAsia="Arial MT" w:hAnsi="Arial MT" w:cs="Arial MT"/>
      <w:sz w:val="24"/>
      <w:szCs w:val="24"/>
      <w:lang w:val="es-ES"/>
    </w:rPr>
  </w:style>
  <w:style w:type="paragraph" w:styleId="Textocomentario">
    <w:name w:val="annotation text"/>
    <w:basedOn w:val="Normal"/>
    <w:link w:val="TextocomentarioCar"/>
    <w:uiPriority w:val="99"/>
    <w:unhideWhenUsed/>
    <w:rsid w:val="002A1F8A"/>
    <w:pPr>
      <w:spacing w:line="240" w:lineRule="auto"/>
    </w:pPr>
    <w:rPr>
      <w:sz w:val="20"/>
      <w:szCs w:val="20"/>
    </w:rPr>
  </w:style>
  <w:style w:type="character" w:customStyle="1" w:styleId="TextocomentarioCar">
    <w:name w:val="Texto comentario Car"/>
    <w:basedOn w:val="Fuentedeprrafopredeter"/>
    <w:link w:val="Textocomentario"/>
    <w:uiPriority w:val="99"/>
    <w:rsid w:val="002A1F8A"/>
    <w:rPr>
      <w:sz w:val="20"/>
      <w:szCs w:val="20"/>
    </w:rPr>
  </w:style>
  <w:style w:type="paragraph" w:styleId="Asuntodelcomentario">
    <w:name w:val="annotation subject"/>
    <w:basedOn w:val="Textocomentario"/>
    <w:next w:val="Textocomentario"/>
    <w:link w:val="AsuntodelcomentarioCar"/>
    <w:uiPriority w:val="99"/>
    <w:semiHidden/>
    <w:unhideWhenUsed/>
    <w:rsid w:val="002A1F8A"/>
    <w:pPr>
      <w:spacing w:after="0"/>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2A1F8A"/>
    <w:rPr>
      <w:rFonts w:ascii="Times New Roman" w:eastAsiaTheme="minorHAnsi" w:hAnsi="Times New Roman" w:cs="Times New Roman"/>
      <w:b/>
      <w:bCs/>
      <w:sz w:val="20"/>
      <w:szCs w:val="20"/>
      <w:lang w:val="es-ES_tradnl" w:eastAsia="es-ES_tradnl"/>
    </w:rPr>
  </w:style>
  <w:style w:type="character" w:customStyle="1" w:styleId="Ttulo1Car">
    <w:name w:val="Título 1 Car"/>
    <w:basedOn w:val="Fuentedeprrafopredeter"/>
    <w:link w:val="Ttulo1"/>
    <w:uiPriority w:val="9"/>
    <w:rsid w:val="00F837AE"/>
    <w:rPr>
      <w:b/>
      <w:sz w:val="48"/>
      <w:szCs w:val="48"/>
    </w:rPr>
  </w:style>
  <w:style w:type="paragraph" w:styleId="Sinespaciado">
    <w:name w:val="No Spacing"/>
    <w:uiPriority w:val="1"/>
    <w:qFormat/>
    <w:rsid w:val="00733AEA"/>
    <w:pPr>
      <w:spacing w:after="0" w:line="240" w:lineRule="auto"/>
    </w:pPr>
    <w:rPr>
      <w:rFonts w:ascii="Times New Roman" w:eastAsiaTheme="minorHAnsi" w:hAnsi="Times New Roman" w:cs="Times New Roman"/>
      <w:sz w:val="24"/>
      <w:szCs w:val="24"/>
      <w:lang w:val="es-ES_tradnl" w:eastAsia="es-ES_tradnl"/>
    </w:rPr>
  </w:style>
  <w:style w:type="paragraph" w:styleId="NormalWeb">
    <w:name w:val="Normal (Web)"/>
    <w:basedOn w:val="Normal"/>
    <w:uiPriority w:val="99"/>
    <w:unhideWhenUsed/>
    <w:rsid w:val="0053740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DD581A"/>
    <w:rPr>
      <w:color w:val="0563C1" w:themeColor="hyperlink"/>
      <w:u w:val="single"/>
    </w:rPr>
  </w:style>
  <w:style w:type="paragraph" w:customStyle="1" w:styleId="Default">
    <w:name w:val="Default"/>
    <w:rsid w:val="000F01C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baj">
    <w:name w:val="b_aj"/>
    <w:basedOn w:val="Fuentedeprrafopredeter"/>
    <w:rsid w:val="00534A39"/>
  </w:style>
  <w:style w:type="paragraph" w:styleId="Revisin">
    <w:name w:val="Revision"/>
    <w:hidden/>
    <w:uiPriority w:val="99"/>
    <w:semiHidden/>
    <w:rsid w:val="00345CCF"/>
    <w:pPr>
      <w:spacing w:after="0" w:line="240" w:lineRule="auto"/>
    </w:pPr>
  </w:style>
  <w:style w:type="paragraph" w:styleId="Textodeglobo">
    <w:name w:val="Balloon Text"/>
    <w:basedOn w:val="Normal"/>
    <w:link w:val="TextodegloboCar"/>
    <w:uiPriority w:val="99"/>
    <w:semiHidden/>
    <w:unhideWhenUsed/>
    <w:rsid w:val="00C217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1742"/>
    <w:rPr>
      <w:rFonts w:ascii="Segoe UI" w:hAnsi="Segoe UI" w:cs="Segoe UI"/>
      <w:sz w:val="18"/>
      <w:szCs w:val="18"/>
    </w:rPr>
  </w:style>
  <w:style w:type="character" w:styleId="Textoennegrita">
    <w:name w:val="Strong"/>
    <w:basedOn w:val="Fuentedeprrafopredeter"/>
    <w:uiPriority w:val="22"/>
    <w:qFormat/>
    <w:rsid w:val="00C21D39"/>
    <w:rPr>
      <w:b/>
      <w:bCs/>
    </w:rPr>
  </w:style>
  <w:style w:type="character" w:styleId="nfasis">
    <w:name w:val="Emphasis"/>
    <w:basedOn w:val="Fuentedeprrafopredeter"/>
    <w:uiPriority w:val="20"/>
    <w:qFormat/>
    <w:rsid w:val="00EC5D0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7AE"/>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rsid w:val="00845E40"/>
    <w:pPr>
      <w:keepNext/>
      <w:keepLines/>
      <w:spacing w:before="200" w:after="280" w:line="240" w:lineRule="auto"/>
      <w:outlineLvl w:val="3"/>
    </w:pPr>
    <w:rPr>
      <w:rFonts w:ascii="Cambria" w:hAnsi="Cambria" w:cs="Times New Roman"/>
      <w:b/>
      <w:bCs/>
      <w:i/>
      <w:iCs/>
      <w:color w:val="4F81BD"/>
      <w:lang w:val="es-ES_tradnl"/>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2B7BE8"/>
    <w:pPr>
      <w:spacing w:after="0" w:line="240" w:lineRule="auto"/>
    </w:pPr>
    <w:rPr>
      <w:sz w:val="20"/>
      <w:szCs w:val="20"/>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2B7BE8"/>
    <w:rPr>
      <w:sz w:val="20"/>
      <w:szCs w:val="20"/>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2B7BE8"/>
    <w:rPr>
      <w:vertAlign w:val="superscript"/>
    </w:rPr>
  </w:style>
  <w:style w:type="paragraph" w:styleId="Prrafodelista">
    <w:name w:val="List Paragraph"/>
    <w:basedOn w:val="Normal"/>
    <w:uiPriority w:val="1"/>
    <w:qFormat/>
    <w:rsid w:val="00E51FF1"/>
    <w:pPr>
      <w:ind w:left="720"/>
      <w:contextualSpacing/>
    </w:pPr>
  </w:style>
  <w:style w:type="paragraph" w:styleId="Encabezado">
    <w:name w:val="header"/>
    <w:basedOn w:val="Normal"/>
    <w:link w:val="EncabezadoCar"/>
    <w:uiPriority w:val="99"/>
    <w:unhideWhenUsed/>
    <w:rsid w:val="006A2EB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A2EBD"/>
  </w:style>
  <w:style w:type="paragraph" w:styleId="Piedepgina">
    <w:name w:val="footer"/>
    <w:basedOn w:val="Normal"/>
    <w:link w:val="PiedepginaCar"/>
    <w:unhideWhenUsed/>
    <w:rsid w:val="006A2EBD"/>
    <w:pPr>
      <w:tabs>
        <w:tab w:val="center" w:pos="4680"/>
        <w:tab w:val="right" w:pos="9360"/>
      </w:tabs>
      <w:spacing w:after="0" w:line="240" w:lineRule="auto"/>
    </w:pPr>
  </w:style>
  <w:style w:type="character" w:customStyle="1" w:styleId="PiedepginaCar">
    <w:name w:val="Pie de página Car"/>
    <w:basedOn w:val="Fuentedeprrafopredeter"/>
    <w:link w:val="Piedepgina"/>
    <w:rsid w:val="006A2EBD"/>
  </w:style>
  <w:style w:type="character" w:customStyle="1" w:styleId="Ttulo4Car">
    <w:name w:val="Título 4 Car"/>
    <w:basedOn w:val="Fuentedeprrafopredeter"/>
    <w:link w:val="Ttulo4"/>
    <w:rsid w:val="00845E40"/>
    <w:rPr>
      <w:rFonts w:ascii="Cambria" w:eastAsia="Calibri" w:hAnsi="Cambria" w:cs="Times New Roman"/>
      <w:b/>
      <w:bCs/>
      <w:i/>
      <w:iCs/>
      <w:color w:val="4F81BD"/>
      <w:lang w:val="es-ES_tradnl"/>
    </w:rPr>
  </w:style>
  <w:style w:type="paragraph" w:customStyle="1" w:styleId="Normal2">
    <w:name w:val="Normal2"/>
    <w:rsid w:val="00845E40"/>
    <w:rPr>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628B5"/>
    <w:rPr>
      <w:sz w:val="16"/>
      <w:szCs w:val="16"/>
    </w:rPr>
  </w:style>
  <w:style w:type="paragraph" w:customStyle="1" w:styleId="Cuerpo">
    <w:name w:val="Cuerpo"/>
    <w:rsid w:val="002C07E1"/>
    <w:pPr>
      <w:spacing w:after="0" w:line="240" w:lineRule="auto"/>
    </w:pPr>
    <w:rPr>
      <w:rFonts w:ascii="Times New Roman" w:eastAsia="Arial Unicode MS" w:hAnsi="Times New Roman" w:cs="Arial Unicode MS"/>
      <w:color w:val="000000"/>
      <w:sz w:val="24"/>
      <w:szCs w:val="24"/>
      <w:u w:color="000000"/>
      <w:lang w:val="es-ES_tradnl" w:eastAsia="es-ES_tradnl"/>
    </w:rPr>
  </w:style>
  <w:style w:type="character" w:customStyle="1" w:styleId="Ninguno">
    <w:name w:val="Ninguno"/>
    <w:rsid w:val="002C07E1"/>
    <w:rPr>
      <w:lang w:val="en-US"/>
    </w:rPr>
  </w:style>
  <w:style w:type="table" w:styleId="Tablaconcuadrcula">
    <w:name w:val="Table Grid"/>
    <w:basedOn w:val="Tablanormal"/>
    <w:uiPriority w:val="39"/>
    <w:rsid w:val="002C07E1"/>
    <w:pPr>
      <w:spacing w:after="0" w:line="240" w:lineRule="auto"/>
    </w:pPr>
    <w:rPr>
      <w:rFonts w:asciiTheme="minorHAnsi" w:eastAsiaTheme="minorHAnsi" w:hAnsiTheme="minorHAnsi" w:cstheme="minorBidi"/>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094A05"/>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094A05"/>
    <w:rPr>
      <w:rFonts w:ascii="Arial MT" w:eastAsia="Arial MT" w:hAnsi="Arial MT" w:cs="Arial MT"/>
      <w:sz w:val="24"/>
      <w:szCs w:val="24"/>
      <w:lang w:val="es-ES"/>
    </w:rPr>
  </w:style>
  <w:style w:type="paragraph" w:styleId="Textocomentario">
    <w:name w:val="annotation text"/>
    <w:basedOn w:val="Normal"/>
    <w:link w:val="TextocomentarioCar"/>
    <w:uiPriority w:val="99"/>
    <w:unhideWhenUsed/>
    <w:rsid w:val="002A1F8A"/>
    <w:pPr>
      <w:spacing w:line="240" w:lineRule="auto"/>
    </w:pPr>
    <w:rPr>
      <w:sz w:val="20"/>
      <w:szCs w:val="20"/>
    </w:rPr>
  </w:style>
  <w:style w:type="character" w:customStyle="1" w:styleId="TextocomentarioCar">
    <w:name w:val="Texto comentario Car"/>
    <w:basedOn w:val="Fuentedeprrafopredeter"/>
    <w:link w:val="Textocomentario"/>
    <w:uiPriority w:val="99"/>
    <w:rsid w:val="002A1F8A"/>
    <w:rPr>
      <w:sz w:val="20"/>
      <w:szCs w:val="20"/>
    </w:rPr>
  </w:style>
  <w:style w:type="paragraph" w:styleId="Asuntodelcomentario">
    <w:name w:val="annotation subject"/>
    <w:basedOn w:val="Textocomentario"/>
    <w:next w:val="Textocomentario"/>
    <w:link w:val="AsuntodelcomentarioCar"/>
    <w:uiPriority w:val="99"/>
    <w:semiHidden/>
    <w:unhideWhenUsed/>
    <w:rsid w:val="002A1F8A"/>
    <w:pPr>
      <w:spacing w:after="0"/>
    </w:pPr>
    <w:rPr>
      <w:rFonts w:ascii="Times New Roman" w:eastAsiaTheme="minorHAnsi" w:hAnsi="Times New Roman" w:cs="Times New Roman"/>
      <w:b/>
      <w:bCs/>
      <w:lang w:val="es-ES_tradnl" w:eastAsia="es-ES_tradnl"/>
    </w:rPr>
  </w:style>
  <w:style w:type="character" w:customStyle="1" w:styleId="AsuntodelcomentarioCar">
    <w:name w:val="Asunto del comentario Car"/>
    <w:basedOn w:val="TextocomentarioCar"/>
    <w:link w:val="Asuntodelcomentario"/>
    <w:uiPriority w:val="99"/>
    <w:semiHidden/>
    <w:rsid w:val="002A1F8A"/>
    <w:rPr>
      <w:rFonts w:ascii="Times New Roman" w:eastAsiaTheme="minorHAnsi" w:hAnsi="Times New Roman" w:cs="Times New Roman"/>
      <w:b/>
      <w:bCs/>
      <w:sz w:val="20"/>
      <w:szCs w:val="20"/>
      <w:lang w:val="es-ES_tradnl" w:eastAsia="es-ES_tradnl"/>
    </w:rPr>
  </w:style>
  <w:style w:type="character" w:customStyle="1" w:styleId="Ttulo1Car">
    <w:name w:val="Título 1 Car"/>
    <w:basedOn w:val="Fuentedeprrafopredeter"/>
    <w:link w:val="Ttulo1"/>
    <w:uiPriority w:val="9"/>
    <w:rsid w:val="00F837AE"/>
    <w:rPr>
      <w:b/>
      <w:sz w:val="48"/>
      <w:szCs w:val="48"/>
    </w:rPr>
  </w:style>
  <w:style w:type="paragraph" w:styleId="Sinespaciado">
    <w:name w:val="No Spacing"/>
    <w:uiPriority w:val="1"/>
    <w:qFormat/>
    <w:rsid w:val="00733AEA"/>
    <w:pPr>
      <w:spacing w:after="0" w:line="240" w:lineRule="auto"/>
    </w:pPr>
    <w:rPr>
      <w:rFonts w:ascii="Times New Roman" w:eastAsiaTheme="minorHAnsi" w:hAnsi="Times New Roman" w:cs="Times New Roman"/>
      <w:sz w:val="24"/>
      <w:szCs w:val="24"/>
      <w:lang w:val="es-ES_tradnl" w:eastAsia="es-ES_tradnl"/>
    </w:rPr>
  </w:style>
  <w:style w:type="paragraph" w:styleId="NormalWeb">
    <w:name w:val="Normal (Web)"/>
    <w:basedOn w:val="Normal"/>
    <w:uiPriority w:val="99"/>
    <w:unhideWhenUsed/>
    <w:rsid w:val="0053740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Hipervnculo">
    <w:name w:val="Hyperlink"/>
    <w:basedOn w:val="Fuentedeprrafopredeter"/>
    <w:uiPriority w:val="99"/>
    <w:unhideWhenUsed/>
    <w:rsid w:val="00DD581A"/>
    <w:rPr>
      <w:color w:val="0563C1" w:themeColor="hyperlink"/>
      <w:u w:val="single"/>
    </w:rPr>
  </w:style>
  <w:style w:type="paragraph" w:customStyle="1" w:styleId="Default">
    <w:name w:val="Default"/>
    <w:rsid w:val="000F01C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baj">
    <w:name w:val="b_aj"/>
    <w:basedOn w:val="Fuentedeprrafopredeter"/>
    <w:rsid w:val="00534A39"/>
  </w:style>
  <w:style w:type="paragraph" w:styleId="Revisin">
    <w:name w:val="Revision"/>
    <w:hidden/>
    <w:uiPriority w:val="99"/>
    <w:semiHidden/>
    <w:rsid w:val="00345CCF"/>
    <w:pPr>
      <w:spacing w:after="0" w:line="240" w:lineRule="auto"/>
    </w:pPr>
  </w:style>
  <w:style w:type="paragraph" w:styleId="Textodeglobo">
    <w:name w:val="Balloon Text"/>
    <w:basedOn w:val="Normal"/>
    <w:link w:val="TextodegloboCar"/>
    <w:uiPriority w:val="99"/>
    <w:semiHidden/>
    <w:unhideWhenUsed/>
    <w:rsid w:val="00C217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1742"/>
    <w:rPr>
      <w:rFonts w:ascii="Segoe UI" w:hAnsi="Segoe UI" w:cs="Segoe UI"/>
      <w:sz w:val="18"/>
      <w:szCs w:val="18"/>
    </w:rPr>
  </w:style>
  <w:style w:type="character" w:styleId="Textoennegrita">
    <w:name w:val="Strong"/>
    <w:basedOn w:val="Fuentedeprrafopredeter"/>
    <w:uiPriority w:val="22"/>
    <w:qFormat/>
    <w:rsid w:val="00C21D39"/>
    <w:rPr>
      <w:b/>
      <w:bCs/>
    </w:rPr>
  </w:style>
  <w:style w:type="character" w:styleId="nfasis">
    <w:name w:val="Emphasis"/>
    <w:basedOn w:val="Fuentedeprrafopredeter"/>
    <w:uiPriority w:val="20"/>
    <w:qFormat/>
    <w:rsid w:val="00EC5D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24073">
      <w:bodyDiv w:val="1"/>
      <w:marLeft w:val="0"/>
      <w:marRight w:val="0"/>
      <w:marTop w:val="0"/>
      <w:marBottom w:val="0"/>
      <w:divBdr>
        <w:top w:val="none" w:sz="0" w:space="0" w:color="auto"/>
        <w:left w:val="none" w:sz="0" w:space="0" w:color="auto"/>
        <w:bottom w:val="none" w:sz="0" w:space="0" w:color="auto"/>
        <w:right w:val="none" w:sz="0" w:space="0" w:color="auto"/>
      </w:divBdr>
    </w:div>
    <w:div w:id="257831525">
      <w:bodyDiv w:val="1"/>
      <w:marLeft w:val="0"/>
      <w:marRight w:val="0"/>
      <w:marTop w:val="0"/>
      <w:marBottom w:val="0"/>
      <w:divBdr>
        <w:top w:val="none" w:sz="0" w:space="0" w:color="auto"/>
        <w:left w:val="none" w:sz="0" w:space="0" w:color="auto"/>
        <w:bottom w:val="none" w:sz="0" w:space="0" w:color="auto"/>
        <w:right w:val="none" w:sz="0" w:space="0" w:color="auto"/>
      </w:divBdr>
    </w:div>
    <w:div w:id="1181430681">
      <w:bodyDiv w:val="1"/>
      <w:marLeft w:val="0"/>
      <w:marRight w:val="0"/>
      <w:marTop w:val="0"/>
      <w:marBottom w:val="0"/>
      <w:divBdr>
        <w:top w:val="none" w:sz="0" w:space="0" w:color="auto"/>
        <w:left w:val="none" w:sz="0" w:space="0" w:color="auto"/>
        <w:bottom w:val="none" w:sz="0" w:space="0" w:color="auto"/>
        <w:right w:val="none" w:sz="0" w:space="0" w:color="auto"/>
      </w:divBdr>
    </w:div>
    <w:div w:id="1407604031">
      <w:bodyDiv w:val="1"/>
      <w:marLeft w:val="0"/>
      <w:marRight w:val="0"/>
      <w:marTop w:val="0"/>
      <w:marBottom w:val="0"/>
      <w:divBdr>
        <w:top w:val="none" w:sz="0" w:space="0" w:color="auto"/>
        <w:left w:val="none" w:sz="0" w:space="0" w:color="auto"/>
        <w:bottom w:val="none" w:sz="0" w:space="0" w:color="auto"/>
        <w:right w:val="none" w:sz="0" w:space="0" w:color="auto"/>
      </w:divBdr>
    </w:div>
    <w:div w:id="1502349469">
      <w:bodyDiv w:val="1"/>
      <w:marLeft w:val="0"/>
      <w:marRight w:val="0"/>
      <w:marTop w:val="0"/>
      <w:marBottom w:val="0"/>
      <w:divBdr>
        <w:top w:val="none" w:sz="0" w:space="0" w:color="auto"/>
        <w:left w:val="none" w:sz="0" w:space="0" w:color="auto"/>
        <w:bottom w:val="none" w:sz="0" w:space="0" w:color="auto"/>
        <w:right w:val="none" w:sz="0" w:space="0" w:color="auto"/>
      </w:divBdr>
    </w:div>
    <w:div w:id="1688410678">
      <w:bodyDiv w:val="1"/>
      <w:marLeft w:val="0"/>
      <w:marRight w:val="0"/>
      <w:marTop w:val="0"/>
      <w:marBottom w:val="0"/>
      <w:divBdr>
        <w:top w:val="none" w:sz="0" w:space="0" w:color="auto"/>
        <w:left w:val="none" w:sz="0" w:space="0" w:color="auto"/>
        <w:bottom w:val="none" w:sz="0" w:space="0" w:color="auto"/>
        <w:right w:val="none" w:sz="0" w:space="0" w:color="auto"/>
      </w:divBdr>
    </w:div>
    <w:div w:id="1853489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retariasenado.gov.co/senado/basedoc/ley_0005_1992_pr007.html"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secretariasenado.gov.co/senado/basedoc/ley_2010_2019.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cretariasenado.gov.co/senado/basedoc/estatuto_tributario_pr004.html" TargetMode="External"/><Relationship Id="rId5" Type="http://schemas.microsoft.com/office/2007/relationships/stylesWithEffects" Target="stylesWithEffects.xml"/><Relationship Id="rId15" Type="http://schemas.openxmlformats.org/officeDocument/2006/relationships/footer" Target="footer1.xml"/><Relationship Id="rId28" Type="http://schemas.microsoft.com/office/2016/09/relationships/commentsIds" Target="commentsIds.xml"/><Relationship Id="rId10" Type="http://schemas.openxmlformats.org/officeDocument/2006/relationships/hyperlink" Target="http://www.secretariasenado.gov.co/senado/basedoc/estatuto_tributario_pr004.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TW4TTtwrBExr777VNuyrO+Ao/A==">AMUW2mUx5a7Y5NQGjrcnwSAiuzOzBe0/UbklS0IFgQs2ZaADz01jYLBtHJDW8quAg5FQ27wH/LL/wxlOyuu6P83ojw0vV70nZILGFKHEfVO/7k65ojXl/2Y=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1AC3EB-8F0A-4299-804F-9AC31330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4914</Words>
  <Characters>27027</Characters>
  <Application>Microsoft Office Word</Application>
  <DocSecurity>0</DocSecurity>
  <Lines>225</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Ferrer</dc:creator>
  <cp:lastModifiedBy>Clara Rocio Vargas Rosado</cp:lastModifiedBy>
  <cp:revision>1</cp:revision>
  <cp:lastPrinted>2022-08-24T21:11:00Z</cp:lastPrinted>
  <dcterms:created xsi:type="dcterms:W3CDTF">2022-09-29T18:55:00Z</dcterms:created>
  <dcterms:modified xsi:type="dcterms:W3CDTF">2022-09-29T19:09:00Z</dcterms:modified>
</cp:coreProperties>
</file>